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65EEA" w:rsidTr="00F65EE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F65EEA" w:rsidRDefault="00F65EEA" w:rsidP="00F65EE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F65EEA" w:rsidRDefault="00F65EEA" w:rsidP="00F65EEA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DF26FE" w:rsidRPr="00CF2CB8" w:rsidRDefault="00DF26FE" w:rsidP="00DF26FE">
      <w:pPr>
        <w:pStyle w:val="INormal"/>
        <w:rPr>
          <w:b/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 xml:space="preserve">Službeni naziv         </w:t>
      </w:r>
      <w:r w:rsidRPr="00CF2CB8">
        <w:rPr>
          <w:sz w:val="24"/>
          <w:szCs w:val="24"/>
          <w:lang w:val="la-Latn"/>
        </w:rPr>
        <w:t>Narodna Republika Kina</w:t>
      </w:r>
    </w:p>
    <w:p w:rsidR="00DF26FE" w:rsidRPr="00CF2CB8" w:rsidRDefault="00DF26FE" w:rsidP="00DF26FE">
      <w:pPr>
        <w:pStyle w:val="INormal"/>
        <w:rPr>
          <w:b/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 xml:space="preserve">Glavni grad </w:t>
      </w:r>
      <w:r w:rsidRPr="00CF2CB8">
        <w:rPr>
          <w:sz w:val="24"/>
          <w:szCs w:val="24"/>
          <w:lang w:val="la-Latn"/>
        </w:rPr>
        <w:t xml:space="preserve">             Beijing</w:t>
      </w:r>
      <w:r w:rsidRPr="00CF2CB8">
        <w:rPr>
          <w:b/>
          <w:sz w:val="24"/>
          <w:szCs w:val="24"/>
          <w:lang w:val="la-Latn"/>
        </w:rPr>
        <w:tab/>
      </w:r>
    </w:p>
    <w:p w:rsidR="00DF26FE" w:rsidRPr="00CF2CB8" w:rsidRDefault="00DF26FE" w:rsidP="00DF26FE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 xml:space="preserve">Površina </w:t>
      </w:r>
      <w:r w:rsidRPr="00CF2CB8">
        <w:rPr>
          <w:sz w:val="24"/>
          <w:szCs w:val="24"/>
          <w:lang w:val="la-Latn"/>
        </w:rPr>
        <w:t xml:space="preserve">              </w:t>
      </w:r>
      <w:r w:rsidR="00BD0772" w:rsidRPr="00CF2CB8">
        <w:rPr>
          <w:sz w:val="24"/>
          <w:szCs w:val="24"/>
          <w:lang w:val="la-Latn"/>
        </w:rPr>
        <w:t xml:space="preserve">    9 569 </w:t>
      </w:r>
      <w:r w:rsidRPr="00CF2CB8">
        <w:rPr>
          <w:sz w:val="24"/>
          <w:szCs w:val="24"/>
          <w:lang w:val="la-Latn"/>
        </w:rPr>
        <w:t>901 km</w:t>
      </w:r>
      <w:r w:rsidRPr="00CF2CB8">
        <w:rPr>
          <w:sz w:val="24"/>
          <w:szCs w:val="24"/>
          <w:vertAlign w:val="superscript"/>
          <w:lang w:val="la-Latn"/>
        </w:rPr>
        <w:t>2</w:t>
      </w:r>
      <w:r w:rsidRPr="00CF2CB8">
        <w:rPr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ab/>
      </w:r>
    </w:p>
    <w:p w:rsidR="00DF26FE" w:rsidRPr="00CF2CB8" w:rsidRDefault="00DF26FE" w:rsidP="00DF26FE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 xml:space="preserve">Broj stanovnika       </w:t>
      </w:r>
      <w:r w:rsidR="00BD0772" w:rsidRPr="00CF2CB8">
        <w:rPr>
          <w:sz w:val="24"/>
          <w:szCs w:val="24"/>
          <w:lang w:val="la-Latn"/>
        </w:rPr>
        <w:t xml:space="preserve">1 355 692 </w:t>
      </w:r>
      <w:r w:rsidRPr="00CF2CB8">
        <w:rPr>
          <w:sz w:val="24"/>
          <w:szCs w:val="24"/>
          <w:lang w:val="la-Latn"/>
        </w:rPr>
        <w:t xml:space="preserve">576 </w:t>
      </w:r>
    </w:p>
    <w:p w:rsidR="00DF26FE" w:rsidRPr="00CF2CB8" w:rsidRDefault="00DF26FE" w:rsidP="00DF26FE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Službeni jezik</w:t>
      </w:r>
      <w:r w:rsidRPr="00CF2CB8">
        <w:rPr>
          <w:b/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>kineski (putonghua)</w:t>
      </w:r>
    </w:p>
    <w:p w:rsidR="00DF26FE" w:rsidRPr="00CF2CB8" w:rsidRDefault="00DF26FE" w:rsidP="00DF26FE">
      <w:pPr>
        <w:pStyle w:val="INormal"/>
        <w:rPr>
          <w:lang w:val="la-Latn"/>
        </w:rPr>
      </w:pPr>
      <w:r w:rsidRPr="00CF2CB8">
        <w:rPr>
          <w:b/>
          <w:sz w:val="24"/>
          <w:szCs w:val="24"/>
          <w:lang w:val="la-Latn"/>
        </w:rPr>
        <w:t>Članstvo u međunarodnim gospodarskim organizacijama:</w:t>
      </w:r>
      <w:r w:rsidRPr="00CF2CB8">
        <w:rPr>
          <w:lang w:val="la-Latn"/>
        </w:rPr>
        <w:t xml:space="preserve"> </w:t>
      </w:r>
    </w:p>
    <w:p w:rsidR="00EC759A" w:rsidRPr="00CF2CB8" w:rsidRDefault="00EC759A" w:rsidP="00DF26FE">
      <w:pPr>
        <w:pStyle w:val="INormal"/>
        <w:rPr>
          <w:sz w:val="24"/>
          <w:szCs w:val="24"/>
          <w:lang w:val="la-Latn"/>
        </w:rPr>
      </w:pPr>
      <w:r w:rsidRPr="00CF2CB8">
        <w:rPr>
          <w:sz w:val="24"/>
          <w:szCs w:val="24"/>
          <w:lang w:val="la-Latn"/>
        </w:rPr>
        <w:t xml:space="preserve">ADB, ASEAN (partner u dijalogu), EAS, FAO, FATF, G-20, </w:t>
      </w:r>
      <w:r w:rsidR="003B7CF0" w:rsidRPr="00CF2CB8">
        <w:rPr>
          <w:sz w:val="24"/>
          <w:szCs w:val="24"/>
          <w:lang w:val="la-Latn"/>
        </w:rPr>
        <w:t>G-24 (promatrač</w:t>
      </w:r>
      <w:r w:rsidRPr="00CF2CB8">
        <w:rPr>
          <w:sz w:val="24"/>
          <w:szCs w:val="24"/>
          <w:lang w:val="la-Latn"/>
        </w:rPr>
        <w:t>), G-5, G-77, IADB, IAEA, IBRD, ICAO, IMF, IMO, IMSO, Interpol, IOC, IPU, ISO, ITSO, ITU, OPCW, UN, UNCTAD, UNESCO, UNWTO, WTO, ZC i dr.</w:t>
      </w:r>
    </w:p>
    <w:p w:rsidR="00CF2CB8" w:rsidRPr="00CF2CB8" w:rsidRDefault="00CF2CB8" w:rsidP="00DF26FE">
      <w:pPr>
        <w:pStyle w:val="INormal"/>
        <w:rPr>
          <w:sz w:val="24"/>
          <w:szCs w:val="24"/>
          <w:lang w:val="la-Latn"/>
        </w:rPr>
      </w:pPr>
    </w:p>
    <w:p w:rsidR="005B1F10" w:rsidRPr="00CF2CB8" w:rsidRDefault="005B1F10" w:rsidP="00EC759A">
      <w:pPr>
        <w:pStyle w:val="IPodnaslov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clear" w:pos="567"/>
        </w:tabs>
        <w:jc w:val="center"/>
        <w:rPr>
          <w:lang w:val="la-Latn"/>
        </w:rPr>
      </w:pPr>
      <w:r w:rsidRPr="00CF2CB8">
        <w:rPr>
          <w:lang w:val="la-Latn"/>
        </w:rPr>
        <w:t>Makroekonomski pokazatelji</w:t>
      </w:r>
      <w:bookmarkStart w:id="0" w:name="OLE_LINK1"/>
      <w:bookmarkStart w:id="1" w:name="OLE_LINK2"/>
      <w:bookmarkStart w:id="2" w:name="_Hlk198093604"/>
      <w:bookmarkEnd w:id="0"/>
      <w:bookmarkEnd w:id="1"/>
      <w:bookmarkEnd w:id="2"/>
    </w:p>
    <w:p w:rsidR="00CF2CB8" w:rsidRPr="00CF2CB8" w:rsidRDefault="00CF2CB8" w:rsidP="00CF2CB8">
      <w:pPr>
        <w:pStyle w:val="INormal"/>
        <w:rPr>
          <w:lang w:val="la-Latn"/>
        </w:rPr>
      </w:pPr>
    </w:p>
    <w:tbl>
      <w:tblPr>
        <w:tblW w:w="9072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61"/>
        <w:gridCol w:w="1242"/>
        <w:gridCol w:w="1242"/>
        <w:gridCol w:w="1242"/>
        <w:gridCol w:w="1242"/>
        <w:gridCol w:w="1243"/>
      </w:tblGrid>
      <w:tr w:rsidR="00941740" w:rsidRPr="00CF2CB8" w:rsidTr="00232D8A">
        <w:trPr>
          <w:trHeight w:val="389"/>
          <w:tblCellSpacing w:w="20" w:type="dxa"/>
        </w:trPr>
        <w:tc>
          <w:tcPr>
            <w:tcW w:w="2801" w:type="dxa"/>
            <w:shd w:val="clear" w:color="auto" w:fill="9CC2E5" w:themeFill="accent1" w:themeFillTint="99"/>
          </w:tcPr>
          <w:p w:rsidR="00941740" w:rsidRPr="00CF2CB8" w:rsidRDefault="00941740" w:rsidP="004E47FE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202" w:type="dxa"/>
            <w:shd w:val="clear" w:color="auto" w:fill="9CC2E5" w:themeFill="accent1" w:themeFillTint="99"/>
            <w:vAlign w:val="center"/>
          </w:tcPr>
          <w:p w:rsidR="00941740" w:rsidRPr="00CF2CB8" w:rsidRDefault="00941740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202" w:type="dxa"/>
            <w:shd w:val="clear" w:color="auto" w:fill="9CC2E5" w:themeFill="accent1" w:themeFillTint="99"/>
            <w:vAlign w:val="center"/>
          </w:tcPr>
          <w:p w:rsidR="00941740" w:rsidRPr="00CF2CB8" w:rsidRDefault="00941740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F2CB8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202" w:type="dxa"/>
            <w:shd w:val="clear" w:color="auto" w:fill="9CC2E5" w:themeFill="accent1" w:themeFillTint="99"/>
          </w:tcPr>
          <w:p w:rsidR="00941740" w:rsidRPr="00CF2CB8" w:rsidRDefault="00941740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F2CB8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202" w:type="dxa"/>
            <w:shd w:val="clear" w:color="auto" w:fill="9CC2E5" w:themeFill="accent1" w:themeFillTint="99"/>
            <w:vAlign w:val="center"/>
          </w:tcPr>
          <w:p w:rsidR="00941740" w:rsidRPr="00CF2CB8" w:rsidRDefault="00941740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83" w:type="dxa"/>
            <w:shd w:val="clear" w:color="auto" w:fill="9CC2E5" w:themeFill="accent1" w:themeFillTint="99"/>
          </w:tcPr>
          <w:p w:rsidR="00941740" w:rsidRDefault="00941740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941740" w:rsidRPr="00CF2CB8" w:rsidTr="00232D8A">
        <w:trPr>
          <w:trHeight w:val="674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BDP, tekuće cijene (bilijuna USD)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12,2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13,5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14,3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14,3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17,7</w:t>
            </w:r>
          </w:p>
        </w:tc>
      </w:tr>
      <w:tr w:rsidR="00941740" w:rsidRPr="00CF2CB8" w:rsidTr="00232D8A">
        <w:trPr>
          <w:trHeight w:val="411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8 826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9</w:t>
            </w:r>
            <w:r w:rsidRPr="00CF2CB8">
              <w:rPr>
                <w:sz w:val="24"/>
                <w:szCs w:val="24"/>
                <w:lang w:val="hr-HR"/>
              </w:rPr>
              <w:t xml:space="preserve"> </w:t>
            </w:r>
            <w:r w:rsidRPr="00CF2CB8">
              <w:rPr>
                <w:sz w:val="24"/>
                <w:szCs w:val="24"/>
                <w:lang w:val="la-Latn"/>
              </w:rPr>
              <w:t>633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9 770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10 000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12 556</w:t>
            </w:r>
          </w:p>
        </w:tc>
      </w:tr>
      <w:tr w:rsidR="00941740" w:rsidRPr="00CF2CB8" w:rsidTr="00232D8A">
        <w:trPr>
          <w:trHeight w:val="403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6,8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6,2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6,1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2,3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8,1</w:t>
            </w:r>
          </w:p>
        </w:tc>
      </w:tr>
      <w:tr w:rsidR="00941740" w:rsidRPr="00CF2CB8" w:rsidTr="00232D8A">
        <w:trPr>
          <w:trHeight w:val="403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1,8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2,2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2,9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1,0</w:t>
            </w:r>
          </w:p>
        </w:tc>
      </w:tr>
      <w:tr w:rsidR="00941740" w:rsidRPr="00CF2CB8" w:rsidTr="00232D8A">
        <w:trPr>
          <w:trHeight w:val="417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4,7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4,7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4,3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3,8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4,8</w:t>
            </w:r>
          </w:p>
        </w:tc>
      </w:tr>
      <w:tr w:rsidR="00941740" w:rsidRPr="00CF2CB8" w:rsidTr="00232D8A">
        <w:trPr>
          <w:trHeight w:val="470"/>
          <w:tblCellSpacing w:w="20" w:type="dxa"/>
        </w:trPr>
        <w:tc>
          <w:tcPr>
            <w:tcW w:w="2801" w:type="dxa"/>
            <w:shd w:val="clear" w:color="auto" w:fill="9CC2E5" w:themeFill="accent1" w:themeFillTint="99"/>
            <w:vAlign w:val="center"/>
          </w:tcPr>
          <w:p w:rsidR="00941740" w:rsidRPr="00CF2CB8" w:rsidRDefault="00941740" w:rsidP="00941740">
            <w:pPr>
              <w:pStyle w:val="INormal"/>
              <w:jc w:val="left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168,2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203,5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124,39</w:t>
            </w:r>
          </w:p>
        </w:tc>
        <w:tc>
          <w:tcPr>
            <w:tcW w:w="1202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149,0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941740" w:rsidRPr="00CF2CB8" w:rsidRDefault="00941740" w:rsidP="00941740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181,0</w:t>
            </w:r>
          </w:p>
        </w:tc>
      </w:tr>
    </w:tbl>
    <w:p w:rsidR="005B1F10" w:rsidRPr="00B441D1" w:rsidRDefault="005B1F10" w:rsidP="005B1F10">
      <w:pPr>
        <w:pStyle w:val="INormal"/>
        <w:rPr>
          <w:i/>
          <w:lang w:val="hr-HR"/>
        </w:rPr>
      </w:pPr>
      <w:r w:rsidRPr="00CF2CB8">
        <w:rPr>
          <w:i/>
          <w:lang w:val="la-Latn"/>
        </w:rPr>
        <w:t xml:space="preserve">Izvor: </w:t>
      </w:r>
      <w:r w:rsidR="002F31B3" w:rsidRPr="00CF2CB8">
        <w:rPr>
          <w:i/>
          <w:lang w:val="la-Latn"/>
        </w:rPr>
        <w:t xml:space="preserve">The World </w:t>
      </w:r>
      <w:r w:rsidR="007F5D82" w:rsidRPr="00CF2CB8">
        <w:rPr>
          <w:i/>
          <w:lang w:val="la-Latn"/>
        </w:rPr>
        <w:t>Bank</w:t>
      </w:r>
      <w:r w:rsidR="00513A5F" w:rsidRPr="00CF2CB8">
        <w:rPr>
          <w:i/>
        </w:rPr>
        <w:t xml:space="preserve">, </w:t>
      </w:r>
      <w:r w:rsidR="00513A5F" w:rsidRPr="00CF2CB8">
        <w:rPr>
          <w:i/>
          <w:lang w:val="la-Latn"/>
        </w:rPr>
        <w:t>IMF</w:t>
      </w:r>
      <w:r w:rsidR="00B441D1">
        <w:rPr>
          <w:i/>
          <w:lang w:val="hr-HR"/>
        </w:rPr>
        <w:t xml:space="preserve">  </w:t>
      </w:r>
    </w:p>
    <w:p w:rsidR="00025B08" w:rsidRDefault="00025B08" w:rsidP="00EC759A">
      <w:pPr>
        <w:pStyle w:val="INormal"/>
        <w:spacing w:after="0"/>
        <w:rPr>
          <w:b/>
          <w:sz w:val="24"/>
          <w:szCs w:val="24"/>
          <w:lang w:val="la-Latn"/>
        </w:rPr>
      </w:pPr>
    </w:p>
    <w:p w:rsidR="00EC759A" w:rsidRPr="00CF2CB8" w:rsidRDefault="005B1F10" w:rsidP="00EC759A">
      <w:pPr>
        <w:pStyle w:val="INormal"/>
        <w:spacing w:after="0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Struktura BDP-a</w:t>
      </w:r>
      <w:r w:rsidR="00E43066">
        <w:rPr>
          <w:b/>
          <w:sz w:val="24"/>
          <w:szCs w:val="24"/>
          <w:lang w:val="la-Latn"/>
        </w:rPr>
        <w:t xml:space="preserve"> u 2021</w:t>
      </w:r>
      <w:r w:rsidR="00BD0772" w:rsidRPr="00CF2CB8">
        <w:rPr>
          <w:b/>
          <w:sz w:val="24"/>
          <w:szCs w:val="24"/>
          <w:lang w:val="la-Latn"/>
        </w:rPr>
        <w:t>.</w:t>
      </w:r>
      <w:r w:rsidRPr="00CF2CB8">
        <w:rPr>
          <w:b/>
          <w:sz w:val="24"/>
          <w:szCs w:val="24"/>
          <w:lang w:val="la-Latn"/>
        </w:rPr>
        <w:t xml:space="preserve">: </w:t>
      </w:r>
      <w:r w:rsidRPr="00CF2CB8">
        <w:rPr>
          <w:sz w:val="24"/>
          <w:szCs w:val="24"/>
          <w:lang w:val="la-Latn"/>
        </w:rPr>
        <w:t xml:space="preserve">usluge  </w:t>
      </w:r>
      <w:r w:rsidR="00927A64">
        <w:rPr>
          <w:sz w:val="24"/>
          <w:szCs w:val="24"/>
          <w:lang w:val="la-Latn"/>
        </w:rPr>
        <w:t>59</w:t>
      </w:r>
      <w:r w:rsidR="00BD0772" w:rsidRPr="00CF2CB8">
        <w:rPr>
          <w:sz w:val="24"/>
          <w:szCs w:val="24"/>
          <w:lang w:val="la-Latn"/>
        </w:rPr>
        <w:t>,</w:t>
      </w:r>
      <w:r w:rsidR="00927A64">
        <w:rPr>
          <w:sz w:val="24"/>
          <w:szCs w:val="24"/>
          <w:lang w:val="hr-HR"/>
        </w:rPr>
        <w:t>8</w:t>
      </w:r>
      <w:r w:rsidRPr="00CF2CB8">
        <w:rPr>
          <w:sz w:val="24"/>
          <w:szCs w:val="24"/>
          <w:lang w:val="la-Latn"/>
        </w:rPr>
        <w:t xml:space="preserve">%, industrija </w:t>
      </w:r>
      <w:r w:rsidR="00E43066">
        <w:rPr>
          <w:sz w:val="24"/>
          <w:szCs w:val="24"/>
          <w:lang w:val="la-Latn"/>
        </w:rPr>
        <w:t>32</w:t>
      </w:r>
      <w:r w:rsidR="00BD0772" w:rsidRPr="00CF2CB8">
        <w:rPr>
          <w:sz w:val="24"/>
          <w:szCs w:val="24"/>
          <w:lang w:val="la-Latn"/>
        </w:rPr>
        <w:t>,</w:t>
      </w:r>
      <w:r w:rsidR="00E43066">
        <w:rPr>
          <w:sz w:val="24"/>
          <w:szCs w:val="24"/>
          <w:lang w:val="hr-HR"/>
        </w:rPr>
        <w:t>6</w:t>
      </w:r>
      <w:r w:rsidR="00927A64">
        <w:rPr>
          <w:sz w:val="24"/>
          <w:szCs w:val="24"/>
          <w:lang w:val="la-Latn"/>
        </w:rPr>
        <w:t>%, poljoprivreda 7</w:t>
      </w:r>
      <w:r w:rsidR="00BD0772" w:rsidRPr="00CF2CB8">
        <w:rPr>
          <w:sz w:val="24"/>
          <w:szCs w:val="24"/>
          <w:lang w:val="la-Latn"/>
        </w:rPr>
        <w:t>,</w:t>
      </w:r>
      <w:r w:rsidR="00927A64">
        <w:rPr>
          <w:sz w:val="24"/>
          <w:szCs w:val="24"/>
          <w:lang w:val="hr-HR"/>
        </w:rPr>
        <w:t>6</w:t>
      </w:r>
      <w:r w:rsidRPr="00CF2CB8">
        <w:rPr>
          <w:sz w:val="24"/>
          <w:szCs w:val="24"/>
          <w:lang w:val="la-Latn"/>
        </w:rPr>
        <w:t>%.</w:t>
      </w:r>
    </w:p>
    <w:p w:rsidR="004D25A5" w:rsidRPr="00CF2CB8" w:rsidRDefault="004D25A5" w:rsidP="00EC759A">
      <w:pPr>
        <w:pStyle w:val="INormal"/>
        <w:spacing w:after="0"/>
        <w:rPr>
          <w:i/>
          <w:lang w:val="la-Latn"/>
        </w:rPr>
      </w:pPr>
    </w:p>
    <w:p w:rsidR="005B1F10" w:rsidRPr="00CF2CB8" w:rsidRDefault="005B1F10" w:rsidP="00EC759A">
      <w:pPr>
        <w:pStyle w:val="INormal"/>
        <w:spacing w:after="0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Najvažnije industrije:</w:t>
      </w:r>
      <w:r w:rsidR="002F31B3" w:rsidRPr="00CF2CB8">
        <w:rPr>
          <w:b/>
          <w:sz w:val="24"/>
          <w:szCs w:val="24"/>
          <w:lang w:val="la-Latn"/>
        </w:rPr>
        <w:t xml:space="preserve"> </w:t>
      </w:r>
      <w:r w:rsidR="002F31B3" w:rsidRPr="00CF2CB8">
        <w:rPr>
          <w:sz w:val="24"/>
          <w:szCs w:val="24"/>
          <w:lang w:val="la-Latn"/>
        </w:rPr>
        <w:t>proizvodnja riže,</w:t>
      </w:r>
      <w:r w:rsidR="002F31B3" w:rsidRPr="00CF2CB8">
        <w:rPr>
          <w:b/>
          <w:sz w:val="24"/>
          <w:szCs w:val="24"/>
          <w:lang w:val="la-Latn"/>
        </w:rPr>
        <w:t xml:space="preserve"> </w:t>
      </w:r>
      <w:r w:rsidRPr="00CF2CB8">
        <w:rPr>
          <w:sz w:val="24"/>
          <w:szCs w:val="24"/>
          <w:lang w:val="la-Latn"/>
        </w:rPr>
        <w:t>rudarstvo i prerada drugih metala, ugljen, strojogradnja, oružje, tekstilna industrija, nafta, cement, kemikalije, gnojiva, roba široke potrošnje, elektronski proizvodi, prerada hrane, oprema za transport, brodove i zrakoplove, oprema za telekomunikacije, satelite i komercijalne svemirske letjelice</w:t>
      </w:r>
      <w:r w:rsidR="00CA0F8D" w:rsidRPr="00CF2CB8">
        <w:rPr>
          <w:sz w:val="24"/>
          <w:szCs w:val="24"/>
          <w:lang w:val="la-Latn"/>
        </w:rPr>
        <w:t>.</w:t>
      </w:r>
      <w:r w:rsidRPr="00CF2CB8">
        <w:rPr>
          <w:sz w:val="24"/>
          <w:szCs w:val="24"/>
          <w:lang w:val="la-Latn"/>
        </w:rPr>
        <w:t xml:space="preserve"> </w:t>
      </w: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025B08" w:rsidRPr="00CF2CB8" w:rsidRDefault="00025B08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sz w:val="24"/>
          <w:szCs w:val="24"/>
          <w:lang w:val="la-Latn"/>
        </w:rPr>
      </w:pPr>
    </w:p>
    <w:p w:rsidR="00904A03" w:rsidRPr="00CF2CB8" w:rsidRDefault="00904A03" w:rsidP="00EC759A">
      <w:pPr>
        <w:pStyle w:val="INormal"/>
        <w:spacing w:after="0"/>
        <w:rPr>
          <w:i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F2CB8" w:rsidRPr="00CF2CB8" w:rsidTr="00EC759A">
        <w:trPr>
          <w:trHeight w:val="200"/>
        </w:trPr>
        <w:tc>
          <w:tcPr>
            <w:tcW w:w="9285" w:type="dxa"/>
            <w:shd w:val="clear" w:color="auto" w:fill="9CC2E5" w:themeFill="accent1" w:themeFillTint="99"/>
          </w:tcPr>
          <w:p w:rsidR="005B1F10" w:rsidRPr="00CF2CB8" w:rsidRDefault="005B1F10" w:rsidP="004E47FE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5B1F10" w:rsidRPr="00CF2CB8" w:rsidRDefault="005B1F10" w:rsidP="005B1F10">
      <w:pPr>
        <w:pStyle w:val="INormal"/>
        <w:spacing w:after="0"/>
        <w:rPr>
          <w:sz w:val="24"/>
          <w:szCs w:val="24"/>
          <w:lang w:val="la-Latn"/>
        </w:rPr>
      </w:pPr>
      <w:r w:rsidRPr="00CF2CB8">
        <w:rPr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ab/>
      </w:r>
      <w:r w:rsidRPr="00CF2CB8">
        <w:rPr>
          <w:sz w:val="24"/>
          <w:szCs w:val="24"/>
          <w:lang w:val="la-Latn"/>
        </w:rPr>
        <w:tab/>
        <w:t xml:space="preserve">       </w:t>
      </w:r>
    </w:p>
    <w:p w:rsidR="005B1F10" w:rsidRPr="00CF2CB8" w:rsidRDefault="005B1F10" w:rsidP="005B1F10">
      <w:pPr>
        <w:pStyle w:val="INormal"/>
        <w:spacing w:after="0"/>
        <w:jc w:val="right"/>
        <w:rPr>
          <w:i/>
          <w:lang w:val="la-Latn"/>
        </w:rPr>
      </w:pPr>
      <w:r w:rsidRPr="00CF2CB8">
        <w:rPr>
          <w:i/>
          <w:lang w:val="la-Latn"/>
        </w:rPr>
        <w:t xml:space="preserve">U </w:t>
      </w:r>
      <w:r w:rsidR="00B441D1">
        <w:rPr>
          <w:i/>
          <w:lang w:val="hr-HR"/>
        </w:rPr>
        <w:t>milijardama</w:t>
      </w:r>
      <w:r w:rsidRPr="00CF2CB8">
        <w:rPr>
          <w:i/>
          <w:lang w:val="la-Latn"/>
        </w:rPr>
        <w:t xml:space="preserve"> USD</w:t>
      </w:r>
    </w:p>
    <w:tbl>
      <w:tblPr>
        <w:tblW w:w="90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40"/>
        <w:gridCol w:w="1388"/>
        <w:gridCol w:w="1388"/>
        <w:gridCol w:w="1388"/>
        <w:gridCol w:w="1362"/>
        <w:gridCol w:w="1362"/>
      </w:tblGrid>
      <w:tr w:rsidR="00DA33B6" w:rsidRPr="00CF2CB8" w:rsidTr="00DA33B6">
        <w:trPr>
          <w:trHeight w:val="320"/>
          <w:tblCellSpacing w:w="20" w:type="dxa"/>
        </w:trPr>
        <w:tc>
          <w:tcPr>
            <w:tcW w:w="2080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rPr>
                <w:sz w:val="24"/>
                <w:szCs w:val="24"/>
                <w:lang w:val="la-Latn"/>
              </w:rPr>
            </w:pPr>
          </w:p>
        </w:tc>
        <w:tc>
          <w:tcPr>
            <w:tcW w:w="1348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348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F2CB8">
              <w:rPr>
                <w:b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348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 w:rsidRPr="00CF2CB8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322" w:type="dxa"/>
            <w:shd w:val="clear" w:color="auto" w:fill="9CC2E5" w:themeFill="accent1" w:themeFillTint="99"/>
            <w:vAlign w:val="center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302" w:type="dxa"/>
            <w:shd w:val="clear" w:color="auto" w:fill="9CC2E5" w:themeFill="accent1" w:themeFillTint="99"/>
          </w:tcPr>
          <w:p w:rsidR="00DA33B6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DA33B6" w:rsidRPr="00CF2CB8" w:rsidTr="00DA33B6">
        <w:trPr>
          <w:trHeight w:val="320"/>
          <w:tblCellSpacing w:w="20" w:type="dxa"/>
        </w:trPr>
        <w:tc>
          <w:tcPr>
            <w:tcW w:w="2080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48" w:type="dxa"/>
            <w:shd w:val="clear" w:color="auto" w:fill="FFFFFF"/>
          </w:tcPr>
          <w:p w:rsidR="00DA33B6" w:rsidRPr="00B441D1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la-Latn"/>
              </w:rPr>
              <w:t>2,</w:t>
            </w:r>
            <w:r>
              <w:rPr>
                <w:sz w:val="24"/>
                <w:szCs w:val="24"/>
                <w:lang w:val="hr-HR"/>
              </w:rPr>
              <w:t>263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2,487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2,499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A33B6" w:rsidRPr="00CF2CB8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2,591</w:t>
            </w:r>
          </w:p>
        </w:tc>
        <w:tc>
          <w:tcPr>
            <w:tcW w:w="1302" w:type="dxa"/>
            <w:shd w:val="clear" w:color="auto" w:fill="FFFFFF"/>
          </w:tcPr>
          <w:p w:rsidR="00DA33B6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3,360</w:t>
            </w:r>
          </w:p>
        </w:tc>
      </w:tr>
      <w:tr w:rsidR="00DA33B6" w:rsidRPr="00CF2CB8" w:rsidTr="00DA33B6">
        <w:trPr>
          <w:trHeight w:val="320"/>
          <w:tblCellSpacing w:w="20" w:type="dxa"/>
        </w:trPr>
        <w:tc>
          <w:tcPr>
            <w:tcW w:w="2080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48" w:type="dxa"/>
            <w:shd w:val="clear" w:color="auto" w:fill="FFFFFF"/>
          </w:tcPr>
          <w:p w:rsidR="00DA33B6" w:rsidRPr="00F527C7" w:rsidRDefault="00DA33B6" w:rsidP="00F527C7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1,844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2,135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B441D1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 w:rsidRPr="00CF2CB8">
              <w:rPr>
                <w:sz w:val="24"/>
                <w:szCs w:val="24"/>
                <w:lang w:val="hr-HR"/>
              </w:rPr>
              <w:t>2,</w:t>
            </w:r>
            <w:r>
              <w:rPr>
                <w:sz w:val="24"/>
                <w:szCs w:val="24"/>
                <w:lang w:val="hr-HR"/>
              </w:rPr>
              <w:t>077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2,056</w:t>
            </w:r>
          </w:p>
        </w:tc>
        <w:tc>
          <w:tcPr>
            <w:tcW w:w="1302" w:type="dxa"/>
            <w:shd w:val="clear" w:color="auto" w:fill="FFFFFF"/>
          </w:tcPr>
          <w:p w:rsidR="00DA33B6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2,069</w:t>
            </w:r>
          </w:p>
        </w:tc>
      </w:tr>
      <w:tr w:rsidR="00DA33B6" w:rsidRPr="00CF2CB8" w:rsidTr="00DA33B6">
        <w:trPr>
          <w:trHeight w:val="320"/>
          <w:tblCellSpacing w:w="20" w:type="dxa"/>
        </w:trPr>
        <w:tc>
          <w:tcPr>
            <w:tcW w:w="2080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48" w:type="dxa"/>
            <w:shd w:val="clear" w:color="auto" w:fill="FFFFFF"/>
          </w:tcPr>
          <w:p w:rsidR="00DA33B6" w:rsidRPr="00F527C7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4,107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4,622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4,576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4,647</w:t>
            </w:r>
          </w:p>
        </w:tc>
        <w:tc>
          <w:tcPr>
            <w:tcW w:w="1302" w:type="dxa"/>
            <w:shd w:val="clear" w:color="auto" w:fill="FFFFFF"/>
          </w:tcPr>
          <w:p w:rsidR="00DA33B6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5,429</w:t>
            </w:r>
          </w:p>
        </w:tc>
      </w:tr>
      <w:tr w:rsidR="00DA33B6" w:rsidRPr="00CF2CB8" w:rsidTr="00DA33B6">
        <w:trPr>
          <w:trHeight w:val="101"/>
          <w:tblCellSpacing w:w="20" w:type="dxa"/>
        </w:trPr>
        <w:tc>
          <w:tcPr>
            <w:tcW w:w="2080" w:type="dxa"/>
            <w:shd w:val="clear" w:color="auto" w:fill="9CC2E5" w:themeFill="accent1" w:themeFillTint="99"/>
          </w:tcPr>
          <w:p w:rsidR="00DA33B6" w:rsidRPr="00CF2CB8" w:rsidRDefault="00DA33B6" w:rsidP="004E47FE">
            <w:pPr>
              <w:pStyle w:val="INormal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48" w:type="dxa"/>
            <w:shd w:val="clear" w:color="auto" w:fill="FFFFFF"/>
          </w:tcPr>
          <w:p w:rsidR="00DA33B6" w:rsidRPr="00F527C7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419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352</w:t>
            </w:r>
          </w:p>
        </w:tc>
        <w:tc>
          <w:tcPr>
            <w:tcW w:w="1348" w:type="dxa"/>
            <w:shd w:val="clear" w:color="auto" w:fill="FFFFFF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422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A33B6" w:rsidRPr="00CF2CB8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535</w:t>
            </w:r>
          </w:p>
        </w:tc>
        <w:tc>
          <w:tcPr>
            <w:tcW w:w="1302" w:type="dxa"/>
            <w:shd w:val="clear" w:color="auto" w:fill="FFFFFF"/>
          </w:tcPr>
          <w:p w:rsidR="00DA33B6" w:rsidRDefault="00DA33B6" w:rsidP="004E47FE">
            <w:pPr>
              <w:pStyle w:val="INormal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1,291</w:t>
            </w:r>
          </w:p>
        </w:tc>
      </w:tr>
    </w:tbl>
    <w:p w:rsidR="00904A03" w:rsidRPr="00CF2CB8" w:rsidRDefault="005B1F10" w:rsidP="005B1F10">
      <w:pPr>
        <w:pStyle w:val="INormal"/>
        <w:rPr>
          <w:i/>
          <w:lang w:val="hr-HR"/>
        </w:rPr>
      </w:pPr>
      <w:r w:rsidRPr="00CF2CB8">
        <w:rPr>
          <w:i/>
          <w:lang w:val="la-Latn"/>
        </w:rPr>
        <w:t xml:space="preserve">Izvor: </w:t>
      </w:r>
      <w:r w:rsidR="00275554" w:rsidRPr="00CF2CB8">
        <w:rPr>
          <w:i/>
          <w:lang w:val="la-Latn"/>
        </w:rPr>
        <w:t>The World Bank</w:t>
      </w:r>
      <w:r w:rsidR="00940605" w:rsidRPr="00CF2CB8">
        <w:rPr>
          <w:i/>
          <w:lang w:val="hr-HR"/>
        </w:rPr>
        <w:t xml:space="preserve">, </w:t>
      </w:r>
      <w:r w:rsidR="00940605" w:rsidRPr="00CF2CB8">
        <w:rPr>
          <w:i/>
          <w:lang w:val="la-Latn"/>
        </w:rPr>
        <w:t>Trading Economics</w:t>
      </w:r>
      <w:r w:rsidR="00C04382" w:rsidRPr="00CF2CB8">
        <w:rPr>
          <w:i/>
          <w:lang w:val="hr-HR"/>
        </w:rPr>
        <w:t>,IMF</w:t>
      </w:r>
    </w:p>
    <w:p w:rsidR="00CF2CB8" w:rsidRPr="00CF2CB8" w:rsidRDefault="00CF2CB8" w:rsidP="00CB782A">
      <w:pPr>
        <w:pStyle w:val="INormal"/>
        <w:rPr>
          <w:b/>
          <w:sz w:val="24"/>
          <w:szCs w:val="24"/>
          <w:lang w:val="la-Latn"/>
        </w:rPr>
      </w:pPr>
    </w:p>
    <w:p w:rsidR="00CB782A" w:rsidRPr="00CF2CB8" w:rsidRDefault="00CB782A" w:rsidP="00CB782A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Najznačajnije zemlje izvoza:</w:t>
      </w:r>
      <w:r w:rsidRPr="00CF2CB8">
        <w:rPr>
          <w:sz w:val="24"/>
          <w:szCs w:val="24"/>
          <w:lang w:val="la-Latn"/>
        </w:rPr>
        <w:t xml:space="preserve"> SAD 18,2%, Hong Kong 13,8%, Japan 6,1%, Južna Kore</w:t>
      </w:r>
      <w:r w:rsidR="002F31B3" w:rsidRPr="00CF2CB8">
        <w:rPr>
          <w:sz w:val="24"/>
          <w:szCs w:val="24"/>
          <w:lang w:val="la-Latn"/>
        </w:rPr>
        <w:t>j</w:t>
      </w:r>
      <w:r w:rsidRPr="00CF2CB8">
        <w:rPr>
          <w:sz w:val="24"/>
          <w:szCs w:val="24"/>
          <w:lang w:val="la-Latn"/>
        </w:rPr>
        <w:t>a 4,5%</w:t>
      </w:r>
      <w:r w:rsidR="00CA0F8D" w:rsidRPr="00CF2CB8">
        <w:rPr>
          <w:sz w:val="24"/>
          <w:szCs w:val="24"/>
          <w:lang w:val="la-Latn"/>
        </w:rPr>
        <w:t>.</w:t>
      </w:r>
    </w:p>
    <w:p w:rsidR="00CB782A" w:rsidRPr="00CF2CB8" w:rsidRDefault="00CB782A" w:rsidP="00CB782A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Najznačajniji izvozni proizvodi:</w:t>
      </w:r>
      <w:r w:rsidRPr="00CF2CB8">
        <w:rPr>
          <w:sz w:val="24"/>
          <w:szCs w:val="24"/>
          <w:lang w:val="la-Latn"/>
        </w:rPr>
        <w:t xml:space="preserve"> električni i ostali strojevi (uključujući računala i telekomunikacijsku opremi), odjeća, namještaj, tekstil</w:t>
      </w:r>
      <w:r w:rsidR="00CA0F8D" w:rsidRPr="00CF2CB8">
        <w:rPr>
          <w:sz w:val="24"/>
          <w:szCs w:val="24"/>
          <w:lang w:val="la-Latn"/>
        </w:rPr>
        <w:t>.</w:t>
      </w:r>
    </w:p>
    <w:p w:rsidR="00CB782A" w:rsidRPr="00CF2CB8" w:rsidRDefault="00CB782A" w:rsidP="00CB782A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Najznačajnije zemlje uvoza</w:t>
      </w:r>
      <w:r w:rsidRPr="00CF2CB8">
        <w:rPr>
          <w:sz w:val="24"/>
          <w:szCs w:val="24"/>
          <w:lang w:val="la-Latn"/>
        </w:rPr>
        <w:t>: Južna Kore</w:t>
      </w:r>
      <w:r w:rsidR="002F31B3" w:rsidRPr="00CF2CB8">
        <w:rPr>
          <w:sz w:val="24"/>
          <w:szCs w:val="24"/>
          <w:lang w:val="la-Latn"/>
        </w:rPr>
        <w:t>j</w:t>
      </w:r>
      <w:r w:rsidR="00B86344" w:rsidRPr="00CF2CB8">
        <w:rPr>
          <w:sz w:val="24"/>
          <w:szCs w:val="24"/>
          <w:lang w:val="la-Latn"/>
        </w:rPr>
        <w:t>a 10</w:t>
      </w:r>
      <w:r w:rsidRPr="00CF2CB8">
        <w:rPr>
          <w:sz w:val="24"/>
          <w:szCs w:val="24"/>
          <w:lang w:val="la-Latn"/>
        </w:rPr>
        <w:t xml:space="preserve">%, Japan </w:t>
      </w:r>
      <w:r w:rsidR="00B86344" w:rsidRPr="00CF2CB8">
        <w:rPr>
          <w:sz w:val="24"/>
          <w:szCs w:val="24"/>
          <w:lang w:val="la-Latn"/>
        </w:rPr>
        <w:t>9,2%, SAD 8,5</w:t>
      </w:r>
      <w:r w:rsidR="00EC759A" w:rsidRPr="00CF2CB8">
        <w:rPr>
          <w:sz w:val="24"/>
          <w:szCs w:val="24"/>
          <w:lang w:val="la-Latn"/>
        </w:rPr>
        <w:t>%</w:t>
      </w:r>
      <w:r w:rsidRPr="00CF2CB8">
        <w:rPr>
          <w:sz w:val="24"/>
          <w:szCs w:val="24"/>
          <w:lang w:val="la-Latn"/>
        </w:rPr>
        <w:t>, Njemačka 5,4%, Australija 4,4%</w:t>
      </w:r>
      <w:r w:rsidR="00CA0F8D" w:rsidRPr="00CF2CB8">
        <w:rPr>
          <w:sz w:val="24"/>
          <w:szCs w:val="24"/>
          <w:lang w:val="la-Latn"/>
        </w:rPr>
        <w:t>.</w:t>
      </w:r>
    </w:p>
    <w:p w:rsidR="00112D7A" w:rsidRPr="00CF2CB8" w:rsidRDefault="00CB782A" w:rsidP="00524089">
      <w:pPr>
        <w:pStyle w:val="INormal"/>
        <w:rPr>
          <w:sz w:val="24"/>
          <w:szCs w:val="24"/>
          <w:lang w:val="la-Latn"/>
        </w:rPr>
      </w:pPr>
      <w:r w:rsidRPr="00CF2CB8">
        <w:rPr>
          <w:b/>
          <w:sz w:val="24"/>
          <w:szCs w:val="24"/>
          <w:lang w:val="la-Latn"/>
        </w:rPr>
        <w:t>Najznačajniji uvozni proizvodi</w:t>
      </w:r>
      <w:r w:rsidRPr="00CF2CB8">
        <w:rPr>
          <w:sz w:val="24"/>
          <w:szCs w:val="24"/>
          <w:lang w:val="la-Latn"/>
        </w:rPr>
        <w:t>: električni i ostali strojevi (uključujući integrirane sklopove i druge računalne komponente), naftna i mineralna goriva, optička i medicinska oprema, metalne rude, motorna vozila, soja</w:t>
      </w:r>
      <w:r w:rsidR="00CA0F8D" w:rsidRPr="00CF2CB8">
        <w:rPr>
          <w:sz w:val="24"/>
          <w:szCs w:val="24"/>
          <w:lang w:val="la-Latn"/>
        </w:rPr>
        <w:t>.</w:t>
      </w:r>
    </w:p>
    <w:p w:rsidR="00CF2CB8" w:rsidRPr="00CF2CB8" w:rsidRDefault="00CF2CB8" w:rsidP="00524089">
      <w:pPr>
        <w:pStyle w:val="INormal"/>
        <w:rPr>
          <w:sz w:val="24"/>
          <w:szCs w:val="24"/>
          <w:lang w:val="la-Latn"/>
        </w:rPr>
      </w:pPr>
    </w:p>
    <w:p w:rsidR="00CF2CB8" w:rsidRPr="00CF2CB8" w:rsidRDefault="00CF2CB8" w:rsidP="00524089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F2CB8" w:rsidRPr="00CF2CB8" w:rsidTr="0052408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4089" w:rsidRPr="00CF2CB8" w:rsidRDefault="00CF2CB8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524089" w:rsidRPr="00CF2CB8" w:rsidRDefault="00524089" w:rsidP="00524089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F2CB8" w:rsidRPr="00CF2CB8" w:rsidTr="0052408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524089" w:rsidRPr="00CF2CB8" w:rsidRDefault="00524089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CF2CB8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CF2CB8" w:rsidRDefault="00112D7A" w:rsidP="00112D7A">
      <w:pPr>
        <w:pStyle w:val="INormal"/>
        <w:spacing w:after="0"/>
        <w:rPr>
          <w:rFonts w:cs="Arial"/>
          <w:sz w:val="24"/>
          <w:szCs w:val="24"/>
          <w:lang w:val="la-Latn"/>
        </w:rPr>
      </w:pPr>
    </w:p>
    <w:p w:rsidR="00112D7A" w:rsidRPr="00CF2CB8" w:rsidRDefault="008C3671" w:rsidP="00D6090B">
      <w:pPr>
        <w:pStyle w:val="INormal"/>
        <w:spacing w:after="0"/>
        <w:ind w:right="-428"/>
        <w:jc w:val="center"/>
        <w:rPr>
          <w:rFonts w:cs="Arial"/>
          <w:i/>
          <w:lang w:val="la-Latn"/>
        </w:rPr>
      </w:pPr>
      <w:r w:rsidRPr="00CF2CB8">
        <w:rPr>
          <w:rFonts w:cs="Arial"/>
          <w:i/>
          <w:lang w:val="la-Latn"/>
        </w:rPr>
        <w:t xml:space="preserve">                                                                                           </w:t>
      </w:r>
      <w:r w:rsidR="00FE4C86" w:rsidRPr="00CF2CB8">
        <w:rPr>
          <w:rFonts w:cs="Arial"/>
          <w:i/>
          <w:lang w:val="la-Latn"/>
        </w:rPr>
        <w:t xml:space="preserve">                         </w:t>
      </w:r>
      <w:r w:rsidR="005B01F2" w:rsidRPr="00CF2CB8">
        <w:rPr>
          <w:rFonts w:cs="Arial"/>
          <w:i/>
          <w:lang w:val="la-Latn"/>
        </w:rPr>
        <w:t xml:space="preserve">         </w:t>
      </w:r>
      <w:r w:rsidR="00481EEC" w:rsidRPr="00CF2CB8">
        <w:rPr>
          <w:rFonts w:cs="Arial"/>
          <w:i/>
          <w:lang w:val="la-Latn"/>
        </w:rPr>
        <w:t xml:space="preserve">U milijunima </w:t>
      </w:r>
      <w:r w:rsidR="00387816" w:rsidRPr="00CF2CB8">
        <w:rPr>
          <w:rFonts w:cs="Arial"/>
          <w:i/>
          <w:lang w:val="la-Latn"/>
        </w:rPr>
        <w:t>USD</w:t>
      </w:r>
    </w:p>
    <w:tbl>
      <w:tblPr>
        <w:tblW w:w="910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9"/>
        <w:gridCol w:w="1531"/>
        <w:gridCol w:w="1531"/>
        <w:gridCol w:w="1531"/>
        <w:gridCol w:w="1531"/>
        <w:gridCol w:w="1531"/>
      </w:tblGrid>
      <w:tr w:rsidR="00232D8A" w:rsidRPr="0084634E" w:rsidTr="00232D8A">
        <w:trPr>
          <w:trHeight w:val="155"/>
          <w:tblCellSpacing w:w="20" w:type="dxa"/>
        </w:trPr>
        <w:tc>
          <w:tcPr>
            <w:tcW w:w="1389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4634E">
              <w:rPr>
                <w:rFonts w:eastAsia="Arial"/>
                <w:b/>
                <w:sz w:val="24"/>
                <w:szCs w:val="24"/>
              </w:rPr>
              <w:t>201</w:t>
            </w:r>
            <w:r>
              <w:rPr>
                <w:rFonts w:eastAsia="Arial"/>
                <w:b/>
                <w:sz w:val="24"/>
                <w:szCs w:val="24"/>
              </w:rPr>
              <w:t>8</w:t>
            </w:r>
            <w:r w:rsidRPr="0084634E">
              <w:rPr>
                <w:rFonts w:eastAsia="Arial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4634E"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91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4634E"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91" w:type="dxa"/>
            <w:shd w:val="clear" w:color="auto" w:fill="9CC2E5" w:themeFill="accent1" w:themeFillTint="99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84634E"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471" w:type="dxa"/>
            <w:shd w:val="clear" w:color="auto" w:fill="9CC2E5" w:themeFill="accent1" w:themeFillTint="99"/>
          </w:tcPr>
          <w:p w:rsidR="00232D8A" w:rsidRPr="00232D8A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 w:rsidRPr="00232D8A">
              <w:rPr>
                <w:rFonts w:eastAsia="Arial"/>
                <w:b/>
                <w:sz w:val="24"/>
                <w:szCs w:val="24"/>
              </w:rPr>
              <w:t>I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  <w:r w:rsidRPr="00232D8A">
              <w:rPr>
                <w:rFonts w:eastAsia="Arial"/>
                <w:b/>
                <w:sz w:val="24"/>
                <w:szCs w:val="24"/>
              </w:rPr>
              <w:t>-VI</w:t>
            </w:r>
            <w:r>
              <w:rPr>
                <w:rFonts w:eastAsia="Arial"/>
                <w:b/>
                <w:sz w:val="24"/>
                <w:szCs w:val="24"/>
              </w:rPr>
              <w:t>.</w:t>
            </w:r>
            <w:r w:rsidRPr="00232D8A">
              <w:rPr>
                <w:rFonts w:eastAsia="Arial"/>
                <w:b/>
                <w:sz w:val="24"/>
                <w:szCs w:val="24"/>
              </w:rPr>
              <w:t xml:space="preserve"> 2022</w:t>
            </w:r>
          </w:p>
        </w:tc>
      </w:tr>
      <w:tr w:rsidR="00232D8A" w:rsidRPr="0084634E" w:rsidTr="00232D8A">
        <w:trPr>
          <w:trHeight w:val="224"/>
          <w:tblCellSpacing w:w="20" w:type="dxa"/>
        </w:trPr>
        <w:tc>
          <w:tcPr>
            <w:tcW w:w="1389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4634E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158,4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120,4</w:t>
            </w:r>
          </w:p>
        </w:tc>
        <w:tc>
          <w:tcPr>
            <w:tcW w:w="1491" w:type="dxa"/>
            <w:shd w:val="clear" w:color="auto" w:fill="FFFFFF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96,7</w:t>
            </w:r>
          </w:p>
        </w:tc>
        <w:tc>
          <w:tcPr>
            <w:tcW w:w="149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105,6</w:t>
            </w:r>
          </w:p>
        </w:tc>
        <w:tc>
          <w:tcPr>
            <w:tcW w:w="147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53,8</w:t>
            </w:r>
          </w:p>
        </w:tc>
      </w:tr>
      <w:tr w:rsidR="00232D8A" w:rsidRPr="0084634E" w:rsidTr="00232D8A">
        <w:trPr>
          <w:trHeight w:val="224"/>
          <w:tblCellSpacing w:w="20" w:type="dxa"/>
        </w:trPr>
        <w:tc>
          <w:tcPr>
            <w:tcW w:w="1389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4634E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952,4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803,6</w:t>
            </w:r>
          </w:p>
        </w:tc>
        <w:tc>
          <w:tcPr>
            <w:tcW w:w="1491" w:type="dxa"/>
            <w:shd w:val="clear" w:color="auto" w:fill="FFFFFF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1 213,4</w:t>
            </w:r>
          </w:p>
        </w:tc>
        <w:tc>
          <w:tcPr>
            <w:tcW w:w="149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1 214,4</w:t>
            </w:r>
          </w:p>
        </w:tc>
        <w:tc>
          <w:tcPr>
            <w:tcW w:w="147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715,1</w:t>
            </w:r>
          </w:p>
        </w:tc>
      </w:tr>
      <w:tr w:rsidR="00232D8A" w:rsidRPr="0084634E" w:rsidTr="00232D8A">
        <w:trPr>
          <w:trHeight w:val="224"/>
          <w:tblCellSpacing w:w="20" w:type="dxa"/>
        </w:trPr>
        <w:tc>
          <w:tcPr>
            <w:tcW w:w="1389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4634E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1 110,8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b/>
                <w:sz w:val="24"/>
                <w:szCs w:val="24"/>
                <w:lang w:val="hr-HR"/>
              </w:rPr>
              <w:t>924,0</w:t>
            </w:r>
          </w:p>
        </w:tc>
        <w:tc>
          <w:tcPr>
            <w:tcW w:w="1491" w:type="dxa"/>
            <w:shd w:val="clear" w:color="auto" w:fill="FFFFFF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b/>
                <w:sz w:val="24"/>
                <w:szCs w:val="24"/>
                <w:lang w:val="hr-HR"/>
              </w:rPr>
              <w:t>1 309,1</w:t>
            </w:r>
          </w:p>
        </w:tc>
        <w:tc>
          <w:tcPr>
            <w:tcW w:w="149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b/>
                <w:sz w:val="24"/>
                <w:szCs w:val="24"/>
                <w:lang w:val="hr-HR"/>
              </w:rPr>
              <w:t>1 319,0</w:t>
            </w:r>
          </w:p>
        </w:tc>
        <w:tc>
          <w:tcPr>
            <w:tcW w:w="147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b/>
                <w:sz w:val="24"/>
                <w:szCs w:val="24"/>
                <w:lang w:val="hr-HR"/>
              </w:rPr>
              <w:t>768,9</w:t>
            </w:r>
          </w:p>
        </w:tc>
      </w:tr>
      <w:tr w:rsidR="00232D8A" w:rsidRPr="0084634E" w:rsidTr="00232D8A">
        <w:trPr>
          <w:trHeight w:val="216"/>
          <w:tblCellSpacing w:w="20" w:type="dxa"/>
        </w:trPr>
        <w:tc>
          <w:tcPr>
            <w:tcW w:w="1389" w:type="dxa"/>
            <w:shd w:val="clear" w:color="auto" w:fill="9CC2E5" w:themeFill="accent1" w:themeFillTint="99"/>
            <w:vAlign w:val="center"/>
          </w:tcPr>
          <w:p w:rsidR="00232D8A" w:rsidRPr="0084634E" w:rsidRDefault="00232D8A" w:rsidP="00232D8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4634E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-794,0</w:t>
            </w:r>
            <w:bookmarkStart w:id="3" w:name="_GoBack"/>
            <w:bookmarkEnd w:id="3"/>
          </w:p>
        </w:tc>
        <w:tc>
          <w:tcPr>
            <w:tcW w:w="1491" w:type="dxa"/>
            <w:shd w:val="clear" w:color="auto" w:fill="FFFFFF"/>
            <w:vAlign w:val="center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-803,6</w:t>
            </w:r>
          </w:p>
        </w:tc>
        <w:tc>
          <w:tcPr>
            <w:tcW w:w="1491" w:type="dxa"/>
            <w:shd w:val="clear" w:color="auto" w:fill="FFFFFF"/>
          </w:tcPr>
          <w:p w:rsidR="00232D8A" w:rsidRPr="0084634E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84634E">
              <w:rPr>
                <w:rFonts w:cs="Arial"/>
                <w:sz w:val="24"/>
                <w:szCs w:val="24"/>
                <w:lang w:val="hr-HR"/>
              </w:rPr>
              <w:t>-1 116,7</w:t>
            </w:r>
          </w:p>
        </w:tc>
        <w:tc>
          <w:tcPr>
            <w:tcW w:w="149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- 1 108,8</w:t>
            </w:r>
          </w:p>
        </w:tc>
        <w:tc>
          <w:tcPr>
            <w:tcW w:w="1471" w:type="dxa"/>
            <w:shd w:val="clear" w:color="auto" w:fill="FFFFFF"/>
          </w:tcPr>
          <w:p w:rsidR="00232D8A" w:rsidRPr="00232D8A" w:rsidRDefault="00232D8A" w:rsidP="00232D8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 w:rsidRPr="00232D8A">
              <w:rPr>
                <w:rFonts w:cs="Arial"/>
                <w:sz w:val="24"/>
                <w:szCs w:val="24"/>
                <w:lang w:val="hr-HR"/>
              </w:rPr>
              <w:t>-661,3</w:t>
            </w:r>
          </w:p>
        </w:tc>
      </w:tr>
    </w:tbl>
    <w:p w:rsidR="00112D7A" w:rsidRPr="00CF2CB8" w:rsidRDefault="00112D7A" w:rsidP="00112D7A">
      <w:pPr>
        <w:pStyle w:val="INormal"/>
        <w:rPr>
          <w:rFonts w:cs="Arial"/>
          <w:i/>
          <w:lang w:val="la-Latn"/>
        </w:rPr>
      </w:pPr>
      <w:r w:rsidRPr="00CF2CB8">
        <w:rPr>
          <w:rFonts w:cs="Arial"/>
          <w:i/>
          <w:lang w:val="la-Latn"/>
        </w:rPr>
        <w:t xml:space="preserve">Izvor: </w:t>
      </w:r>
      <w:r w:rsidR="00966A9B" w:rsidRPr="00CF2CB8">
        <w:rPr>
          <w:rFonts w:cs="Arial"/>
          <w:i/>
          <w:lang w:val="la-Latn"/>
        </w:rPr>
        <w:t>DZS</w:t>
      </w:r>
    </w:p>
    <w:p w:rsidR="00112D7A" w:rsidRPr="00CF2CB8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410"/>
        <w:gridCol w:w="3854"/>
        <w:gridCol w:w="1701"/>
        <w:gridCol w:w="1206"/>
      </w:tblGrid>
      <w:tr w:rsidR="00CF2CB8" w:rsidRPr="00CF2CB8" w:rsidTr="00786790">
        <w:trPr>
          <w:trHeight w:val="53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112D7A" w:rsidRPr="00CF2CB8" w:rsidRDefault="008C3671" w:rsidP="003627AD">
            <w:pPr>
              <w:rPr>
                <w:rFonts w:eastAsia="Arial"/>
                <w:b/>
                <w:sz w:val="24"/>
                <w:szCs w:val="24"/>
              </w:rPr>
            </w:pPr>
            <w:r w:rsidRPr="00CF2CB8">
              <w:rPr>
                <w:rFonts w:eastAsia="Arial"/>
                <w:b/>
                <w:sz w:val="24"/>
                <w:szCs w:val="24"/>
                <w:lang w:val="la-Latn"/>
              </w:rPr>
              <w:t>STRUKTURA NA</w:t>
            </w:r>
            <w:r w:rsidR="002F3D90" w:rsidRPr="00CF2CB8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</w:t>
            </w:r>
            <w:r w:rsidR="00F3186E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3627AD" w:rsidRPr="00CF2CB8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CF2CB8" w:rsidRPr="00CF2CB8" w:rsidTr="007E6F7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CF2CB8" w:rsidRDefault="00112D7A" w:rsidP="00481EEC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CF2CB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4" w:type="dxa"/>
            <w:shd w:val="clear" w:color="auto" w:fill="FFFFFF"/>
            <w:vAlign w:val="center"/>
          </w:tcPr>
          <w:p w:rsidR="00112D7A" w:rsidRPr="00CF2CB8" w:rsidRDefault="00112D7A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112D7A" w:rsidRPr="00CF2CB8" w:rsidRDefault="00387816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112D7A" w:rsidRPr="00CF2CB8" w:rsidRDefault="00481EEC" w:rsidP="00481EE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CF2CB8" w:rsidRPr="00CF2CB8" w:rsidTr="007E6F7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807CC" w:rsidRPr="00CF2CB8" w:rsidRDefault="006920D4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F2CB8">
              <w:rPr>
                <w:rFonts w:eastAsia="Arial"/>
                <w:sz w:val="24"/>
                <w:szCs w:val="24"/>
                <w:lang w:val="la-Latn"/>
              </w:rPr>
              <w:t>1</w:t>
            </w:r>
            <w:r w:rsidR="00F807CC" w:rsidRPr="00CF2CB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CF2CB8" w:rsidRDefault="006942AA" w:rsidP="002F3D90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4407</w:t>
            </w:r>
          </w:p>
        </w:tc>
        <w:tc>
          <w:tcPr>
            <w:tcW w:w="38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6942AA" w:rsidP="00F807CC">
            <w:pPr>
              <w:jc w:val="left"/>
              <w:rPr>
                <w:sz w:val="24"/>
                <w:szCs w:val="24"/>
              </w:rPr>
            </w:pPr>
            <w:r w:rsidRPr="006942AA">
              <w:rPr>
                <w:sz w:val="24"/>
                <w:szCs w:val="24"/>
              </w:rPr>
              <w:t>Drvo obrađeno po dužini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CF2CB8" w:rsidRDefault="00FE4C13" w:rsidP="00FE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853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257</w:t>
            </w:r>
            <w:r w:rsidR="00853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F3186E">
              <w:rPr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184B7A" w:rsidP="00FE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4C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FE4C13">
              <w:rPr>
                <w:sz w:val="24"/>
                <w:szCs w:val="24"/>
              </w:rPr>
              <w:t>0</w:t>
            </w:r>
          </w:p>
        </w:tc>
      </w:tr>
      <w:tr w:rsidR="00CF2CB8" w:rsidRPr="00CF2CB8" w:rsidTr="007E6F7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807CC" w:rsidRPr="00CF2CB8" w:rsidRDefault="006920D4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F2CB8">
              <w:rPr>
                <w:rFonts w:eastAsia="Arial"/>
                <w:sz w:val="24"/>
                <w:szCs w:val="24"/>
                <w:lang w:val="la-Latn"/>
              </w:rPr>
              <w:t>2</w:t>
            </w:r>
            <w:r w:rsidR="00F807CC" w:rsidRPr="00CF2CB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6942AA" w:rsidP="002F3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</w:t>
            </w:r>
          </w:p>
        </w:tc>
        <w:tc>
          <w:tcPr>
            <w:tcW w:w="38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6942AA" w:rsidP="00F807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Motorna vozila za posebne namjene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FE4C13" w:rsidP="00FE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4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469</w:t>
            </w:r>
            <w:r w:rsidR="00694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665</w:t>
            </w:r>
          </w:p>
        </w:tc>
        <w:tc>
          <w:tcPr>
            <w:tcW w:w="11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6942AA" w:rsidRDefault="00FE4C13" w:rsidP="00FE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4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F2CB8" w:rsidRPr="00CF2CB8" w:rsidTr="007E6F7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F807CC" w:rsidRPr="00CF2CB8" w:rsidRDefault="002F3D90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CF2CB8">
              <w:rPr>
                <w:rFonts w:eastAsia="Arial"/>
                <w:sz w:val="24"/>
                <w:szCs w:val="24"/>
              </w:rPr>
              <w:t>3</w:t>
            </w:r>
            <w:r w:rsidR="00F807CC" w:rsidRPr="00CF2CB8">
              <w:rPr>
                <w:rFonts w:eastAsia="Arial"/>
                <w:sz w:val="24"/>
                <w:szCs w:val="24"/>
                <w:lang w:val="la-Latn"/>
              </w:rPr>
              <w:t>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CF2CB8" w:rsidRDefault="00F807CC" w:rsidP="002B4392">
            <w:pPr>
              <w:jc w:val="center"/>
              <w:rPr>
                <w:sz w:val="24"/>
                <w:szCs w:val="24"/>
                <w:lang w:val="la-Latn"/>
              </w:rPr>
            </w:pPr>
            <w:r w:rsidRPr="00CF2CB8">
              <w:rPr>
                <w:sz w:val="24"/>
                <w:szCs w:val="24"/>
                <w:lang w:val="la-Latn"/>
              </w:rPr>
              <w:t>2</w:t>
            </w:r>
            <w:r w:rsidR="00F3186E">
              <w:rPr>
                <w:sz w:val="24"/>
                <w:szCs w:val="24"/>
              </w:rPr>
              <w:t>515</w:t>
            </w:r>
          </w:p>
        </w:tc>
        <w:tc>
          <w:tcPr>
            <w:tcW w:w="38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853D99" w:rsidRDefault="00F3186E" w:rsidP="00F807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Mramor, </w:t>
            </w:r>
            <w:proofErr w:type="spellStart"/>
            <w:r>
              <w:rPr>
                <w:sz w:val="24"/>
                <w:szCs w:val="24"/>
              </w:rPr>
              <w:t>travertin</w:t>
            </w:r>
            <w:proofErr w:type="spellEnd"/>
            <w:r>
              <w:rPr>
                <w:sz w:val="24"/>
                <w:szCs w:val="24"/>
              </w:rPr>
              <w:t xml:space="preserve"> i drugo vapnenačko kamenje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853D99" w:rsidRDefault="00F3186E" w:rsidP="00F3186E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4</w:t>
            </w:r>
            <w:r w:rsidR="00853D99" w:rsidRPr="00853D99">
              <w:rPr>
                <w:sz w:val="24"/>
                <w:szCs w:val="24"/>
              </w:rPr>
              <w:t xml:space="preserve"> </w:t>
            </w:r>
            <w:r w:rsidR="00FE4C13">
              <w:rPr>
                <w:sz w:val="24"/>
                <w:szCs w:val="24"/>
              </w:rPr>
              <w:t>867</w:t>
            </w:r>
            <w:r>
              <w:rPr>
                <w:sz w:val="24"/>
                <w:szCs w:val="24"/>
              </w:rPr>
              <w:t xml:space="preserve"> 8</w:t>
            </w:r>
            <w:r w:rsidR="00FE4C13">
              <w:rPr>
                <w:sz w:val="24"/>
                <w:szCs w:val="24"/>
              </w:rPr>
              <w:t>11</w:t>
            </w:r>
          </w:p>
        </w:tc>
        <w:tc>
          <w:tcPr>
            <w:tcW w:w="11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853D99" w:rsidRDefault="00FE4C13" w:rsidP="00FE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2B4392" w:rsidRPr="00CF2CB8" w:rsidTr="007E6F7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4392" w:rsidRPr="00CF2CB8" w:rsidRDefault="00EA1962" w:rsidP="00F807C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B4392" w:rsidRDefault="00F3186E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</w:t>
            </w:r>
          </w:p>
        </w:tc>
        <w:tc>
          <w:tcPr>
            <w:tcW w:w="38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B4392" w:rsidRDefault="00F3186E" w:rsidP="00F807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Građevinska stolarija i ostali proizvodi za građevinarstvo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853D99" w:rsidRDefault="00F3186E" w:rsidP="00F31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3D99" w:rsidRPr="00853D99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89</w:t>
            </w:r>
            <w:r w:rsidR="00853D99" w:rsidRPr="00853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413</w:t>
            </w:r>
          </w:p>
        </w:tc>
        <w:tc>
          <w:tcPr>
            <w:tcW w:w="11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853D99" w:rsidRDefault="00184B7A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2B4392" w:rsidRPr="00CF2CB8" w:rsidTr="007E6F7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2B4392" w:rsidRPr="00CF2CB8" w:rsidRDefault="00EA1962" w:rsidP="00F807CC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B4392" w:rsidRDefault="00184B7A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7607</w:t>
            </w:r>
          </w:p>
        </w:tc>
        <w:tc>
          <w:tcPr>
            <w:tcW w:w="381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B4392" w:rsidRDefault="00F3186E" w:rsidP="00F807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Folije od aluminija</w:t>
            </w:r>
          </w:p>
        </w:tc>
        <w:tc>
          <w:tcPr>
            <w:tcW w:w="166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853D99" w:rsidRDefault="00184B7A" w:rsidP="00184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3 733</w:t>
            </w:r>
            <w:r w:rsidR="00853D99" w:rsidRPr="00853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853D99" w:rsidRPr="00853D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853D99" w:rsidRDefault="0026487C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CF2CB8" w:rsidRPr="00CF2CB8" w:rsidTr="007E6F70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F807CC" w:rsidRPr="00CF2CB8" w:rsidRDefault="00F807CC" w:rsidP="00F807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661" w:type="dxa"/>
            <w:shd w:val="clear" w:color="auto" w:fill="FFFFFF"/>
          </w:tcPr>
          <w:p w:rsidR="00F807CC" w:rsidRPr="007E6F70" w:rsidRDefault="00FE4C13" w:rsidP="00853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61 117 729</w:t>
            </w:r>
          </w:p>
        </w:tc>
        <w:tc>
          <w:tcPr>
            <w:tcW w:w="1146" w:type="dxa"/>
            <w:shd w:val="clear" w:color="auto" w:fill="FFFFFF"/>
          </w:tcPr>
          <w:p w:rsidR="00F807CC" w:rsidRPr="00CF2CB8" w:rsidRDefault="00FE4C13" w:rsidP="00FE4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184B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CF2CB8" w:rsidRPr="00CF2CB8" w:rsidTr="007E6F70">
        <w:trPr>
          <w:trHeight w:val="392"/>
          <w:tblCellSpacing w:w="20" w:type="dxa"/>
        </w:trPr>
        <w:tc>
          <w:tcPr>
            <w:tcW w:w="6057" w:type="dxa"/>
            <w:gridSpan w:val="3"/>
            <w:shd w:val="clear" w:color="auto" w:fill="FFFFFF"/>
            <w:vAlign w:val="center"/>
          </w:tcPr>
          <w:p w:rsidR="00F807CC" w:rsidRPr="00CF2CB8" w:rsidRDefault="00F807CC" w:rsidP="00F807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F807CC" w:rsidRPr="00CF2CB8" w:rsidRDefault="00F3186E" w:rsidP="006942A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105</w:t>
            </w:r>
            <w:r w:rsidR="00244B29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580</w:t>
            </w:r>
            <w:r w:rsidR="00FF2A01">
              <w:rPr>
                <w:rFonts w:cs="Arial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  <w:lang w:val="hr-HR"/>
              </w:rPr>
              <w:t>601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F807CC" w:rsidRPr="00CF2CB8" w:rsidRDefault="00F807CC" w:rsidP="00F807C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CF2CB8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CF2CB8" w:rsidRDefault="00481EEC" w:rsidP="008C3671">
      <w:pPr>
        <w:pStyle w:val="INormal"/>
        <w:rPr>
          <w:rFonts w:cs="Arial"/>
          <w:i/>
          <w:lang w:val="la-Latn"/>
        </w:rPr>
      </w:pPr>
      <w:r w:rsidRPr="00CF2CB8">
        <w:rPr>
          <w:rFonts w:cs="Arial"/>
          <w:i/>
          <w:lang w:val="la-Latn"/>
        </w:rPr>
        <w:t xml:space="preserve">Izvor: </w:t>
      </w:r>
      <w:r w:rsidR="003627AD" w:rsidRPr="00CF2CB8">
        <w:rPr>
          <w:rFonts w:cs="Arial"/>
          <w:i/>
          <w:lang w:val="la-Latn"/>
        </w:rPr>
        <w:t>DZS</w:t>
      </w:r>
    </w:p>
    <w:p w:rsidR="008C3671" w:rsidRPr="00CF2CB8" w:rsidRDefault="008C3671" w:rsidP="008C3671">
      <w:pPr>
        <w:pStyle w:val="INormal"/>
        <w:rPr>
          <w:rFonts w:cs="Arial"/>
          <w:i/>
          <w:lang w:val="la-Latn"/>
        </w:rPr>
      </w:pPr>
    </w:p>
    <w:p w:rsidR="00F807CC" w:rsidRPr="00CF2CB8" w:rsidRDefault="00F807CC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99"/>
        <w:gridCol w:w="3752"/>
        <w:gridCol w:w="1956"/>
        <w:gridCol w:w="1064"/>
      </w:tblGrid>
      <w:tr w:rsidR="00272BEB" w:rsidRPr="00272BEB" w:rsidTr="00CD30FE">
        <w:trPr>
          <w:trHeight w:val="569"/>
          <w:tblCellSpacing w:w="20" w:type="dxa"/>
          <w:jc w:val="center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272BEB" w:rsidRDefault="008C3671" w:rsidP="003627AD">
            <w:pPr>
              <w:rPr>
                <w:rFonts w:eastAsia="Arial"/>
                <w:b/>
                <w:sz w:val="24"/>
                <w:szCs w:val="24"/>
              </w:rPr>
            </w:pPr>
            <w:r w:rsidRPr="00272BEB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EA1962">
              <w:rPr>
                <w:rFonts w:eastAsia="Arial"/>
                <w:b/>
                <w:sz w:val="24"/>
                <w:szCs w:val="24"/>
              </w:rPr>
              <w:t>2021</w:t>
            </w:r>
            <w:r w:rsidR="003627AD" w:rsidRPr="00272BE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272BEB" w:rsidRPr="00272BEB" w:rsidTr="00CD30FE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481EEC" w:rsidRPr="00272BEB" w:rsidRDefault="00481EEC" w:rsidP="009C6695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481EEC" w:rsidRPr="00272BEB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712" w:type="dxa"/>
            <w:shd w:val="clear" w:color="auto" w:fill="FFFFFF"/>
            <w:vAlign w:val="center"/>
          </w:tcPr>
          <w:p w:rsidR="00481EEC" w:rsidRPr="00272BEB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481EEC" w:rsidRPr="00272BEB" w:rsidRDefault="00387816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481EEC" w:rsidRPr="00272BEB" w:rsidRDefault="00481EEC" w:rsidP="009C669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272BEB" w:rsidRPr="00272BEB" w:rsidTr="00CD30FE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807CC" w:rsidRPr="00272BEB" w:rsidRDefault="00F807CC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sz w:val="24"/>
                <w:szCs w:val="24"/>
                <w:lang w:val="la-Latn"/>
              </w:rPr>
              <w:t>1.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EA1962" w:rsidP="00F807CC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8543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EA1962" w:rsidP="002B43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Električni strojevi i aparati s posebnim funkcijama</w:t>
            </w:r>
          </w:p>
        </w:tc>
        <w:tc>
          <w:tcPr>
            <w:tcW w:w="19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122</w:t>
            </w:r>
            <w:r w:rsidR="00EA19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903 620</w:t>
            </w:r>
          </w:p>
        </w:tc>
        <w:tc>
          <w:tcPr>
            <w:tcW w:w="10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30FE" w:rsidRPr="00272B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272BEB" w:rsidRPr="00272BEB" w:rsidTr="00CD30FE">
        <w:trPr>
          <w:trHeight w:val="407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2B4392" w:rsidRPr="00272BEB" w:rsidRDefault="002B4392" w:rsidP="002B4392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72BEB" w:rsidRDefault="00EA1962" w:rsidP="002B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8517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</w:tcPr>
          <w:p w:rsidR="002B4392" w:rsidRPr="00272BEB" w:rsidRDefault="002B4392" w:rsidP="002B4392">
            <w:pPr>
              <w:jc w:val="left"/>
            </w:pPr>
            <w:r w:rsidRPr="00272BEB">
              <w:rPr>
                <w:sz w:val="24"/>
                <w:szCs w:val="24"/>
              </w:rPr>
              <w:t>Elekt</w:t>
            </w:r>
            <w:r w:rsidR="00EA1962">
              <w:rPr>
                <w:sz w:val="24"/>
                <w:szCs w:val="24"/>
              </w:rPr>
              <w:t>rični aparati za žičanu telefoniju i telegrafiju</w:t>
            </w:r>
          </w:p>
        </w:tc>
        <w:tc>
          <w:tcPr>
            <w:tcW w:w="19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CD30FE" w:rsidRPr="00272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211 636</w:t>
            </w:r>
          </w:p>
        </w:tc>
        <w:tc>
          <w:tcPr>
            <w:tcW w:w="10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2B4392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0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272BEB" w:rsidRPr="00272BEB" w:rsidTr="00CD30FE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807CC" w:rsidRPr="00272BEB" w:rsidRDefault="00F807CC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3323A0">
            <w:pPr>
              <w:jc w:val="left"/>
              <w:rPr>
                <w:sz w:val="24"/>
                <w:szCs w:val="24"/>
              </w:rPr>
            </w:pPr>
            <w:r w:rsidRPr="0064080A">
              <w:rPr>
                <w:sz w:val="24"/>
                <w:szCs w:val="24"/>
              </w:rPr>
              <w:t>Željezne ili čelične konstrukcije (osim montažnih zgrada iz tarifnog broja 9406) i dijelovi konstrukcija (npr. mostovi i sekcije mostova).</w:t>
            </w:r>
          </w:p>
        </w:tc>
        <w:tc>
          <w:tcPr>
            <w:tcW w:w="19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546DC1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72 169 778</w:t>
            </w:r>
          </w:p>
        </w:tc>
        <w:tc>
          <w:tcPr>
            <w:tcW w:w="10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332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080A">
              <w:rPr>
                <w:sz w:val="24"/>
                <w:szCs w:val="24"/>
              </w:rPr>
              <w:t>,5</w:t>
            </w:r>
          </w:p>
        </w:tc>
      </w:tr>
      <w:tr w:rsidR="00272BEB" w:rsidRPr="00272BEB" w:rsidTr="00CD30FE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807CC" w:rsidRPr="00272BEB" w:rsidRDefault="00F807CC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F80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8471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2B439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Strojevi za automatsku obradu podataka</w:t>
            </w:r>
          </w:p>
        </w:tc>
        <w:tc>
          <w:tcPr>
            <w:tcW w:w="19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59</w:t>
            </w:r>
            <w:r w:rsidR="0064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031 104</w:t>
            </w:r>
          </w:p>
        </w:tc>
        <w:tc>
          <w:tcPr>
            <w:tcW w:w="10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72BEB" w:rsidRPr="00272BEB" w:rsidTr="00CD30FE">
        <w:trPr>
          <w:trHeight w:val="392"/>
          <w:tblCellSpacing w:w="20" w:type="dxa"/>
          <w:jc w:val="center"/>
        </w:trPr>
        <w:tc>
          <w:tcPr>
            <w:tcW w:w="793" w:type="dxa"/>
            <w:shd w:val="clear" w:color="auto" w:fill="FFFFFF"/>
            <w:vAlign w:val="center"/>
          </w:tcPr>
          <w:p w:rsidR="00F807CC" w:rsidRPr="00272BEB" w:rsidRDefault="00F807CC" w:rsidP="00F807CC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272BEB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5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F06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8415</w:t>
            </w:r>
          </w:p>
        </w:tc>
        <w:tc>
          <w:tcPr>
            <w:tcW w:w="371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64080A" w:rsidP="00F807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Uređaji za klimatizaciju</w:t>
            </w:r>
          </w:p>
        </w:tc>
        <w:tc>
          <w:tcPr>
            <w:tcW w:w="191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408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340 360</w:t>
            </w:r>
          </w:p>
        </w:tc>
        <w:tc>
          <w:tcPr>
            <w:tcW w:w="100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F807CC" w:rsidRPr="00272BEB" w:rsidRDefault="000779E0" w:rsidP="00077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80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272BEB" w:rsidRPr="00272BEB" w:rsidTr="00CD30FE">
        <w:trPr>
          <w:trHeight w:val="392"/>
          <w:tblCellSpacing w:w="20" w:type="dxa"/>
          <w:jc w:val="center"/>
        </w:trPr>
        <w:tc>
          <w:tcPr>
            <w:tcW w:w="5944" w:type="dxa"/>
            <w:gridSpan w:val="3"/>
            <w:shd w:val="clear" w:color="auto" w:fill="FFFFFF"/>
            <w:vAlign w:val="center"/>
          </w:tcPr>
          <w:p w:rsidR="00F807CC" w:rsidRPr="00272BEB" w:rsidRDefault="00F807CC" w:rsidP="00F807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807CC" w:rsidRPr="00272BEB" w:rsidRDefault="000779E0" w:rsidP="005E1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376 656 498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F807CC" w:rsidRPr="00272BEB" w:rsidRDefault="000779E0" w:rsidP="00077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6408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272BEB" w:rsidRPr="00272BEB" w:rsidTr="00CD30FE">
        <w:trPr>
          <w:trHeight w:val="392"/>
          <w:tblCellSpacing w:w="20" w:type="dxa"/>
          <w:jc w:val="center"/>
        </w:trPr>
        <w:tc>
          <w:tcPr>
            <w:tcW w:w="5944" w:type="dxa"/>
            <w:gridSpan w:val="3"/>
            <w:shd w:val="clear" w:color="auto" w:fill="FFFFFF"/>
            <w:vAlign w:val="center"/>
          </w:tcPr>
          <w:p w:rsidR="00F807CC" w:rsidRPr="00272BEB" w:rsidRDefault="00F807CC" w:rsidP="00F807CC">
            <w:pPr>
              <w:pStyle w:val="INormal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916" w:type="dxa"/>
            <w:shd w:val="clear" w:color="auto" w:fill="FFFFFF"/>
          </w:tcPr>
          <w:p w:rsidR="00F807CC" w:rsidRPr="00272BEB" w:rsidRDefault="00CD30FE" w:rsidP="00566F8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272BEB">
              <w:rPr>
                <w:rFonts w:cs="Arial"/>
                <w:b/>
                <w:sz w:val="24"/>
                <w:szCs w:val="24"/>
                <w:lang w:val="hr-HR"/>
              </w:rPr>
              <w:t>1</w:t>
            </w:r>
            <w:r w:rsidR="00566F8C">
              <w:rPr>
                <w:rFonts w:cs="Arial"/>
                <w:b/>
                <w:sz w:val="24"/>
                <w:szCs w:val="24"/>
                <w:lang w:val="hr-HR"/>
              </w:rPr>
              <w:t xml:space="preserve"> 214 411 730  </w:t>
            </w:r>
          </w:p>
        </w:tc>
        <w:tc>
          <w:tcPr>
            <w:tcW w:w="1004" w:type="dxa"/>
            <w:shd w:val="clear" w:color="auto" w:fill="FFFFFF"/>
          </w:tcPr>
          <w:p w:rsidR="00F807CC" w:rsidRPr="00272BEB" w:rsidRDefault="00F807CC" w:rsidP="00F807CC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272BEB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CF2CB8" w:rsidRPr="00CF2CB8" w:rsidRDefault="00481EEC" w:rsidP="00232D8A">
      <w:pPr>
        <w:rPr>
          <w:rFonts w:ascii="Times New Roman" w:hAnsi="Times New Roman"/>
          <w:i/>
          <w:lang w:val="la-Latn"/>
        </w:rPr>
      </w:pPr>
      <w:r w:rsidRPr="00CF2CB8">
        <w:rPr>
          <w:i/>
          <w:lang w:val="la-Latn"/>
        </w:rPr>
        <w:t xml:space="preserve">Izvor: </w:t>
      </w:r>
      <w:r w:rsidR="003627AD" w:rsidRPr="00CF2CB8">
        <w:rPr>
          <w:i/>
          <w:lang w:val="la-Latn"/>
        </w:rPr>
        <w:t>DZS</w:t>
      </w:r>
    </w:p>
    <w:p w:rsidR="009755EB" w:rsidRPr="00CF2CB8" w:rsidRDefault="009755EB" w:rsidP="0097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lastRenderedPageBreak/>
        <w:t>Međunarodni ugovori iz područja gospodarstva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Memorandum o suglasnosti između Ministarstva poduzetništva i obrta Republike Hrvatske i Ministarstva trgovine Narodne Republike Kine o izradi studije za uspostavu Hrvatsko-kineske gospodarsko tehnološke zone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2.11.2012.; stupanje na snagu:2.11.2012.)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Memorandum o suglasnosti između Ministarstva gospodarstva Republike Hrvatske i Ministarstva trgovine Narodne Republike Kine o suradnji u području uzajamnih ulaganja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potpisivanja:18.5.2012.; stupanje na snagu: 18.5.2012.)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Ugovor između Vlade Republike Hrvatske i Vlade Narodne Republike Kine o zračnom prometu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potpisivanja:20.6.2009.; objava u NN-MU:  3/2010)</w:t>
      </w:r>
      <w:r w:rsidRPr="00CF2CB8">
        <w:rPr>
          <w:rFonts w:eastAsia="Arial"/>
          <w:sz w:val="24"/>
          <w:szCs w:val="24"/>
          <w:lang w:val="la-Latn"/>
        </w:rPr>
        <w:t xml:space="preserve">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Ugovor između Vlade Republike Hrvatske i Vlade Narodne Republike Kine o gospodarskoj suradnji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20.6.2009.; objava u NN-MU:  9/2009; stupanje na snagu: 1.7.2013.; objava stupanja na snagu: 5/2013)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Memorandum o suglasnosti između Ministarstva gospodarstva, rada i poduzetništva Republike Hrvatske i Ministarstva trgovine Narodne Republike Kine o gospodarskoj suradnji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14.5.2008.; stupanje na snagu:14.5.2008.)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o suradnji u poljoprivredi između Ministarstva poljoprivrede, šumarstva i vodnoga gospodarstva Republike Hrvatske i Ministarstva poljoprivrede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potpisivanja:1.9.2006.)</w:t>
      </w:r>
      <w:r w:rsidRPr="00CF2CB8">
        <w:rPr>
          <w:rFonts w:eastAsia="Arial"/>
          <w:sz w:val="24"/>
          <w:szCs w:val="24"/>
          <w:lang w:val="la-Latn"/>
        </w:rPr>
        <w:t xml:space="preserve">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Zajednička izjava o uspostavi partnerstva u općoj suradnji između Republike Hrvatske i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26.5.2005.)</w:t>
      </w:r>
      <w:r w:rsidRPr="00CF2CB8">
        <w:rPr>
          <w:rFonts w:eastAsia="Arial"/>
          <w:sz w:val="24"/>
          <w:szCs w:val="24"/>
          <w:lang w:val="la-Latn"/>
        </w:rPr>
        <w:t xml:space="preserve"> 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Memorandum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  <w:r w:rsidRPr="00CF2CB8">
        <w:rPr>
          <w:rFonts w:eastAsia="Arial"/>
          <w:b/>
          <w:sz w:val="24"/>
          <w:szCs w:val="24"/>
          <w:lang w:val="la-Latn"/>
        </w:rPr>
        <w:t>o suglasnosti između Ministarstva gospodarstva, rada i poduzetništva Republike Hrvatske i Nacionalne komisije za razvoj i reformu Narodne Republike Kine o suradnji malih i srednjih poduzeća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  <w:r w:rsidRPr="00CF2CB8">
        <w:rPr>
          <w:rFonts w:eastAsia="Arial"/>
          <w:i/>
          <w:sz w:val="24"/>
          <w:szCs w:val="24"/>
          <w:lang w:val="la-Latn"/>
        </w:rPr>
        <w:t>(datum potpisivanja: 26.5.2005.; stupanje na snagu: 26.5.2005.)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Članak 9.(&gt;Izbjegavanje dvostrukog oporezivanja&lt;) Sporazuma između Vlade Republike Hrvatske i Vlade Hong Konga (SAR) Posebnog Upravnog Područja Narodne Republike Kine o zračnom prometu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7.6.2002.; objava u NN-MU:  13/2002; stupanje na snagu: 6.8.2004.; objava stupanja na snagu 1/2005 )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između Vlade Republike Hrvatske i Vlade Hong Konga (SAR) Posebnog Upravnog Područja Narodne Republike Kine o zračnom prometu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7.6.2002.; objava u NN-MU:  13/2002; stupanje na snagu: 30.1.2003.; objava stupanja na snagu: 11/2004)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između Vlade Republike Hrvatske i Vlade Narodne Republike Kine o suradnji na području turizma</w:t>
      </w:r>
      <w:r w:rsidRPr="00CF2CB8">
        <w:rPr>
          <w:rFonts w:eastAsia="Arial"/>
          <w:sz w:val="24"/>
          <w:szCs w:val="24"/>
          <w:lang w:val="la-Latn"/>
        </w:rPr>
        <w:t xml:space="preserve">  (datum potpisivanja: 29.5.2000.; objava u NN-MU:  04/2001; stupanje na snagu: 2.1.2002.; objava stupanja na snagu: 03/02)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Protokol sa drugog zasjedanja hrvatsko - kineskog međuvladinog odbora za gospodarsku i trgovinsku suradnju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9.11.1999.)</w:t>
      </w:r>
      <w:r w:rsidRPr="00CF2CB8">
        <w:rPr>
          <w:rFonts w:eastAsia="Arial"/>
          <w:sz w:val="24"/>
          <w:szCs w:val="24"/>
          <w:lang w:val="la-Latn"/>
        </w:rPr>
        <w:t xml:space="preserve"> 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Protokol sa četvrtog zasjedanja hrvatsko-kineskog međuvladinog odbora za gospodarsku i trgovinsku suradnju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13.11.1997.)</w:t>
      </w:r>
      <w:r w:rsidRPr="00CF2CB8">
        <w:rPr>
          <w:rFonts w:eastAsia="Arial"/>
          <w:sz w:val="24"/>
          <w:szCs w:val="24"/>
          <w:lang w:val="la-Latn"/>
        </w:rPr>
        <w:t xml:space="preserve">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lastRenderedPageBreak/>
        <w:t>Sukcesija ugovora između Vlade Republike Hrvatske i Vlade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  <w:r w:rsidRPr="00CF2CB8">
        <w:rPr>
          <w:rFonts w:eastAsia="Arial"/>
          <w:i/>
          <w:sz w:val="24"/>
          <w:szCs w:val="24"/>
          <w:lang w:val="la-Latn"/>
        </w:rPr>
        <w:t xml:space="preserve"> (datum potpisivanja: 27.8.1996.) 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Konzularna konvencija između Republike Hrvatske i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5.2.1996.; objava u NN-MU:  08/96; stupanje na snagu: 8.11.1997.; objava stupanja na snagu: 21/97)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Ugovor između Vlade Republike Hrvatske i Vlade Narodne Republike Kine o izbjegavanju dvostrukog oporezivanja i sprečavanju izbjegavanja plaćanja poreza na dohodak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9.1.1995.; objava u NN-MU: 03/2001; stupanje na snagu: 18.5.2001.; objava stupanja na snagu: 10/01)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Protokol sa prvoga zasjedanja hrvatsko-kineskog međuvladinog odbora za gospodarsku i trgovinsku suradnju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15.9.1993.)</w:t>
      </w:r>
      <w:r w:rsidRPr="00CF2CB8">
        <w:rPr>
          <w:rFonts w:eastAsia="Arial"/>
          <w:sz w:val="24"/>
          <w:szCs w:val="24"/>
          <w:lang w:val="la-Latn"/>
        </w:rPr>
        <w:t xml:space="preserve">  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Zajednička izjava Republike Hrvatske i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7.6.1993.)</w:t>
      </w:r>
      <w:r w:rsidRPr="00CF2CB8">
        <w:rPr>
          <w:rFonts w:eastAsia="Arial"/>
          <w:sz w:val="24"/>
          <w:szCs w:val="24"/>
          <w:lang w:val="la-Latn"/>
        </w:rPr>
        <w:t xml:space="preserve"> 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Ugovor između Vlade Republike Hrvatske i Vlade Narodne Republike Kine o promociji i uzajamnoj zaštiti ulaganja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7.6.1993.; objava u NN-MU:  02/94; stupanje na snagu: 1.7.1994.; objava stupanja na snagu: 2/2004)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Ugovor o pomorskom prijevozu između Vlada Republike Hrvatske i Vlade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7.6.1993.; objava u NN-MU:  07/94)</w:t>
      </w:r>
      <w:r w:rsidRPr="00CF2CB8">
        <w:rPr>
          <w:rFonts w:eastAsia="Arial"/>
          <w:sz w:val="24"/>
          <w:szCs w:val="24"/>
          <w:lang w:val="la-Latn"/>
        </w:rPr>
        <w:t xml:space="preserve">   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o trgovini i gospodarskoj suradnji između Vlade Republike Hrvatske i Vlade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</w:t>
      </w:r>
      <w:r w:rsidRPr="00CF2CB8">
        <w:rPr>
          <w:rFonts w:eastAsia="Arial"/>
          <w:i/>
          <w:sz w:val="24"/>
          <w:szCs w:val="24"/>
          <w:lang w:val="la-Latn"/>
        </w:rPr>
        <w:t xml:space="preserve"> (datum potpisivanja: 27.10.1992.; objava u NN-MU:  03/93; stupanje na snagu: 10.6.1993.; objava stupanja na snagu: 13/2003; prestanak: 1.7.2013.)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Zajedničko priopćenje o uspostavi diplomatskih odnosa između Republike Hrvatske i Narodne Republike Kine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13.5.1992.; stupanje na snagu: 13.5.1992.)</w:t>
      </w:r>
    </w:p>
    <w:p w:rsidR="002A0855" w:rsidRPr="00CF2CB8" w:rsidRDefault="002A0855" w:rsidP="002A0855">
      <w:pPr>
        <w:ind w:left="60"/>
        <w:rPr>
          <w:rFonts w:eastAsia="Arial"/>
          <w:sz w:val="24"/>
          <w:szCs w:val="24"/>
          <w:u w:val="single"/>
          <w:lang w:val="la-Latn"/>
        </w:rPr>
      </w:pPr>
      <w:r w:rsidRPr="00CF2CB8">
        <w:rPr>
          <w:rFonts w:eastAsia="Arial"/>
          <w:sz w:val="24"/>
          <w:szCs w:val="24"/>
          <w:u w:val="single"/>
          <w:lang w:val="la-Latn"/>
        </w:rPr>
        <w:t>Popis dvostranih međunarodnih ugovora preuzetih sukcesijom (NN-MU 1/97)</w:t>
      </w:r>
    </w:p>
    <w:p w:rsidR="002A0855" w:rsidRPr="00CF2CB8" w:rsidRDefault="002A0855" w:rsidP="002A0855">
      <w:pPr>
        <w:rPr>
          <w:rFonts w:eastAsia="Arial"/>
          <w:sz w:val="24"/>
          <w:szCs w:val="24"/>
          <w:lang w:val="la-Latn"/>
        </w:rPr>
      </w:pP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između SIV Skupštine SFRJ i Vlade Narodne Republike Kine o suradnji u carinskim pitanjima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 xml:space="preserve">(datum potpisivanja: 23.1.1989.) </w:t>
      </w:r>
    </w:p>
    <w:p w:rsidR="002A0855" w:rsidRPr="00CF2CB8" w:rsidRDefault="002A0855" w:rsidP="002A0855">
      <w:pPr>
        <w:numPr>
          <w:ilvl w:val="0"/>
          <w:numId w:val="3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Sporazum između Vlade SFRJ i Vlade Narodne Republike Kine o uzajamnom poreskom izuzimanju dohotka od međunarodnog putničkog i robnog, odnosno putničkog ili robnog pomorskog saobraćaja</w:t>
      </w:r>
      <w:r w:rsidRPr="00CF2CB8">
        <w:rPr>
          <w:rFonts w:eastAsia="Arial"/>
          <w:sz w:val="24"/>
          <w:szCs w:val="24"/>
          <w:lang w:val="la-Latn"/>
        </w:rPr>
        <w:t xml:space="preserve">  </w:t>
      </w:r>
      <w:r w:rsidRPr="00CF2CB8">
        <w:rPr>
          <w:rFonts w:eastAsia="Arial"/>
          <w:i/>
          <w:sz w:val="24"/>
          <w:szCs w:val="24"/>
          <w:lang w:val="la-Latn"/>
        </w:rPr>
        <w:t>(datum potpisivanja: 2.3.1979.)</w:t>
      </w:r>
    </w:p>
    <w:p w:rsidR="00025B08" w:rsidRPr="00CF2CB8" w:rsidRDefault="00025B08" w:rsidP="009755EB">
      <w:pPr>
        <w:rPr>
          <w:rFonts w:eastAsia="Arial"/>
          <w:sz w:val="24"/>
          <w:szCs w:val="24"/>
          <w:lang w:val="la-Latn"/>
        </w:rPr>
      </w:pPr>
    </w:p>
    <w:p w:rsidR="009755EB" w:rsidRPr="00CF2CB8" w:rsidRDefault="009755EB" w:rsidP="00975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Bilateralna gospodarska udruženja</w:t>
      </w:r>
    </w:p>
    <w:p w:rsidR="002A0855" w:rsidRPr="00CF2CB8" w:rsidRDefault="002A0855" w:rsidP="002A0855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CSEBA-e – Chinese South East European Business Association</w:t>
      </w:r>
      <w:r w:rsidRPr="00CF2CB8">
        <w:rPr>
          <w:rFonts w:eastAsia="Arial"/>
          <w:sz w:val="24"/>
          <w:szCs w:val="24"/>
          <w:lang w:val="la-Latn"/>
        </w:rPr>
        <w:t>, organizacije koja spaja poslovni, kulturni, akademski i privatni sektor čak 25 zemalja Srednje i Istočne Europe te zemalja Srednje Azije, s partnerima u Kini. Na čelu je g. Mario Rendulić.</w:t>
      </w:r>
    </w:p>
    <w:p w:rsidR="009755EB" w:rsidRPr="00CF2CB8" w:rsidRDefault="002A0855" w:rsidP="009755EB">
      <w:pPr>
        <w:pStyle w:val="ListParagraph"/>
        <w:numPr>
          <w:ilvl w:val="0"/>
          <w:numId w:val="4"/>
        </w:num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sz w:val="24"/>
          <w:szCs w:val="24"/>
          <w:lang w:val="la-Latn"/>
        </w:rPr>
        <w:t xml:space="preserve">18.listopada 2014.g. u Pekingu je pokrenuta inicijativa za osnivanjem </w:t>
      </w:r>
      <w:r w:rsidRPr="00CF2CB8">
        <w:rPr>
          <w:rFonts w:eastAsia="Arial"/>
          <w:b/>
          <w:sz w:val="24"/>
          <w:szCs w:val="24"/>
          <w:lang w:val="la-Latn"/>
        </w:rPr>
        <w:t>Hrvatsko-kineskog poslovnog vijeća</w:t>
      </w:r>
      <w:r w:rsidRPr="00CF2CB8">
        <w:rPr>
          <w:rFonts w:eastAsia="Arial"/>
          <w:sz w:val="24"/>
          <w:szCs w:val="24"/>
          <w:lang w:val="la-Latn"/>
        </w:rPr>
        <w:t xml:space="preserve"> (CCBC – Croatian Chinese  Business Council), čija je temeljna svrha postati učinkovitom platformom za dodatno unaprjeđenje </w:t>
      </w:r>
      <w:r w:rsidRPr="00CF2CB8">
        <w:rPr>
          <w:rFonts w:eastAsia="Arial"/>
          <w:sz w:val="24"/>
          <w:szCs w:val="24"/>
          <w:lang w:val="la-Latn"/>
        </w:rPr>
        <w:lastRenderedPageBreak/>
        <w:t>poslovne i gospodarske suradnje između NR Kine i Republike Hrvatske. Inicijator i voditelj inicijative je kineski poduzetnik Li Gang.</w:t>
      </w:r>
    </w:p>
    <w:p w:rsidR="009755EB" w:rsidRPr="00CF2CB8" w:rsidRDefault="009755EB" w:rsidP="009755EB">
      <w:pPr>
        <w:rPr>
          <w:rFonts w:eastAsia="Arial"/>
          <w:sz w:val="24"/>
          <w:szCs w:val="24"/>
          <w:lang w:val="la-Latn"/>
        </w:rPr>
      </w:pPr>
    </w:p>
    <w:p w:rsidR="009755EB" w:rsidRPr="00CF2CB8" w:rsidRDefault="009755EB" w:rsidP="0023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9755EB" w:rsidRPr="00CF2CB8" w:rsidRDefault="009755EB" w:rsidP="009755EB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F2CB8">
        <w:rPr>
          <w:sz w:val="24"/>
          <w:szCs w:val="24"/>
          <w:lang w:val="la-Latn"/>
        </w:rPr>
        <w:t xml:space="preserve">Javni natječaji u tijeku: </w:t>
      </w:r>
      <w:hyperlink r:id="rId8" w:history="1">
        <w:r w:rsidRPr="00CF2CB8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CF2CB8">
        <w:rPr>
          <w:sz w:val="24"/>
          <w:szCs w:val="24"/>
          <w:lang w:val="la-Latn"/>
        </w:rPr>
        <w:t xml:space="preserve"> </w:t>
      </w:r>
      <w:r w:rsidRPr="00CF2CB8">
        <w:rPr>
          <w:sz w:val="24"/>
          <w:szCs w:val="24"/>
          <w:lang w:val="la-Latn"/>
        </w:rPr>
        <w:br/>
      </w:r>
    </w:p>
    <w:p w:rsidR="009755EB" w:rsidRPr="00CF2CB8" w:rsidRDefault="009755EB" w:rsidP="009755EB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CF2CB8">
        <w:rPr>
          <w:sz w:val="24"/>
          <w:szCs w:val="24"/>
          <w:lang w:val="la-Latn"/>
        </w:rPr>
        <w:t xml:space="preserve">Najave sajmova: </w:t>
      </w:r>
      <w:hyperlink r:id="rId9" w:history="1">
        <w:r w:rsidRPr="00CF2CB8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CF2CB8">
        <w:rPr>
          <w:sz w:val="24"/>
          <w:szCs w:val="24"/>
          <w:lang w:val="la-Latn"/>
        </w:rPr>
        <w:t xml:space="preserve"> </w:t>
      </w:r>
    </w:p>
    <w:p w:rsidR="009755EB" w:rsidRPr="00CF2CB8" w:rsidRDefault="009755EB" w:rsidP="009755EB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9755EB" w:rsidRPr="00CF2CB8" w:rsidRDefault="009755EB" w:rsidP="0023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b/>
          <w:sz w:val="24"/>
          <w:szCs w:val="24"/>
          <w:lang w:val="la-Latn"/>
        </w:rPr>
        <w:t>Posebne napomene</w:t>
      </w:r>
    </w:p>
    <w:p w:rsidR="009755EB" w:rsidRPr="00CF2CB8" w:rsidRDefault="009755EB" w:rsidP="009755EB">
      <w:pPr>
        <w:jc w:val="left"/>
        <w:rPr>
          <w:sz w:val="24"/>
          <w:szCs w:val="24"/>
          <w:lang w:val="la-Latn"/>
        </w:rPr>
      </w:pPr>
      <w:r w:rsidRPr="00CF2CB8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10" w:history="1">
        <w:r w:rsidRPr="00CF2CB8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9755EB" w:rsidRPr="00CF2CB8" w:rsidRDefault="005208E0" w:rsidP="009755EB">
      <w:pPr>
        <w:rPr>
          <w:rFonts w:eastAsia="Arial"/>
          <w:sz w:val="24"/>
          <w:szCs w:val="24"/>
          <w:lang w:val="la-Latn"/>
        </w:rPr>
      </w:pPr>
      <w:r w:rsidRPr="00CF2CB8">
        <w:rPr>
          <w:rFonts w:eastAsia="Arial"/>
          <w:sz w:val="24"/>
          <w:szCs w:val="24"/>
          <w:lang w:val="la-Latn"/>
        </w:rPr>
        <w:t>Zahtjev za podršku</w:t>
      </w:r>
      <w:r w:rsidR="009755EB" w:rsidRPr="00CF2CB8">
        <w:rPr>
          <w:rFonts w:eastAsia="Arial"/>
          <w:sz w:val="24"/>
          <w:szCs w:val="24"/>
          <w:lang w:val="la-Latn"/>
        </w:rPr>
        <w:t xml:space="preserve"> izvozniku: </w:t>
      </w:r>
      <w:hyperlink r:id="rId11" w:history="1">
        <w:r w:rsidR="009755EB" w:rsidRPr="00CF2CB8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9755EB" w:rsidRPr="00CF2CB8">
        <w:rPr>
          <w:rFonts w:eastAsia="Arial"/>
          <w:sz w:val="24"/>
          <w:szCs w:val="24"/>
          <w:lang w:val="la-Latn"/>
        </w:rPr>
        <w:t xml:space="preserve"> </w:t>
      </w:r>
    </w:p>
    <w:p w:rsidR="009755EB" w:rsidRPr="00CF2CB8" w:rsidRDefault="009755EB" w:rsidP="009755EB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9755EB" w:rsidRPr="00CF2CB8" w:rsidRDefault="009755EB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9755EB" w:rsidRPr="00CF2CB8" w:rsidSect="00923A8F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74" w:rsidRDefault="00203374" w:rsidP="00FC4F78">
      <w:pPr>
        <w:spacing w:after="0"/>
      </w:pPr>
      <w:r>
        <w:separator/>
      </w:r>
    </w:p>
  </w:endnote>
  <w:endnote w:type="continuationSeparator" w:id="0">
    <w:p w:rsidR="00203374" w:rsidRDefault="00203374" w:rsidP="00FC4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78" w:rsidRDefault="00FC4F78" w:rsidP="00FC4F78"/>
  <w:p w:rsidR="00FC4F78" w:rsidRDefault="00FC4F78" w:rsidP="00FC4F78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232D8A">
      <w:rPr>
        <w:noProof/>
      </w:rPr>
      <w:t>4.11.2022.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232D8A">
      <w:rPr>
        <w:noProof/>
      </w:rPr>
      <w:t>6</w:t>
    </w:r>
    <w:r>
      <w:fldChar w:fldCharType="end"/>
    </w:r>
  </w:p>
  <w:p w:rsidR="00FC4F78" w:rsidRDefault="00FC4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74" w:rsidRDefault="00203374" w:rsidP="00FC4F78">
      <w:pPr>
        <w:spacing w:after="0"/>
      </w:pPr>
      <w:r>
        <w:separator/>
      </w:r>
    </w:p>
  </w:footnote>
  <w:footnote w:type="continuationSeparator" w:id="0">
    <w:p w:rsidR="00203374" w:rsidRDefault="00203374" w:rsidP="00FC4F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F029BB"/>
    <w:multiLevelType w:val="multilevel"/>
    <w:tmpl w:val="333E38D6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8D438B"/>
    <w:multiLevelType w:val="multilevel"/>
    <w:tmpl w:val="FDDA369A"/>
    <w:lvl w:ilvl="0">
      <w:start w:val="1"/>
      <w:numFmt w:val="decimal"/>
      <w:pStyle w:val="IPod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CD0253"/>
    <w:multiLevelType w:val="hybridMultilevel"/>
    <w:tmpl w:val="5CA0C2D4"/>
    <w:lvl w:ilvl="0" w:tplc="041A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2FF0"/>
    <w:multiLevelType w:val="hybridMultilevel"/>
    <w:tmpl w:val="1FC66E94"/>
    <w:lvl w:ilvl="0" w:tplc="041A0001">
      <w:start w:val="1"/>
      <w:numFmt w:val="bullet"/>
      <w:pStyle w:val="IBu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6E8B"/>
    <w:rsid w:val="000149D6"/>
    <w:rsid w:val="00025B08"/>
    <w:rsid w:val="00027A4A"/>
    <w:rsid w:val="000337FF"/>
    <w:rsid w:val="00050C6D"/>
    <w:rsid w:val="00065364"/>
    <w:rsid w:val="0007488C"/>
    <w:rsid w:val="000779E0"/>
    <w:rsid w:val="00084CEA"/>
    <w:rsid w:val="000B1904"/>
    <w:rsid w:val="00112D7A"/>
    <w:rsid w:val="00114212"/>
    <w:rsid w:val="00131F88"/>
    <w:rsid w:val="00137F4A"/>
    <w:rsid w:val="001514D5"/>
    <w:rsid w:val="00163BC3"/>
    <w:rsid w:val="00184B7A"/>
    <w:rsid w:val="001A098F"/>
    <w:rsid w:val="001B0062"/>
    <w:rsid w:val="001B69A0"/>
    <w:rsid w:val="00203374"/>
    <w:rsid w:val="00231D2B"/>
    <w:rsid w:val="00232D8A"/>
    <w:rsid w:val="00240E2D"/>
    <w:rsid w:val="00244B29"/>
    <w:rsid w:val="002455B9"/>
    <w:rsid w:val="0026487C"/>
    <w:rsid w:val="00272BEB"/>
    <w:rsid w:val="00275554"/>
    <w:rsid w:val="002A0855"/>
    <w:rsid w:val="002A35ED"/>
    <w:rsid w:val="002A40BF"/>
    <w:rsid w:val="002A535B"/>
    <w:rsid w:val="002B4392"/>
    <w:rsid w:val="002C7E9F"/>
    <w:rsid w:val="002F31B3"/>
    <w:rsid w:val="002F3D90"/>
    <w:rsid w:val="00316D8E"/>
    <w:rsid w:val="00320DC7"/>
    <w:rsid w:val="0033117D"/>
    <w:rsid w:val="003323A0"/>
    <w:rsid w:val="003627AD"/>
    <w:rsid w:val="00387816"/>
    <w:rsid w:val="003B7CF0"/>
    <w:rsid w:val="003E10F0"/>
    <w:rsid w:val="00405970"/>
    <w:rsid w:val="00456052"/>
    <w:rsid w:val="00481EEC"/>
    <w:rsid w:val="00492350"/>
    <w:rsid w:val="004A6E1E"/>
    <w:rsid w:val="004D25A5"/>
    <w:rsid w:val="00502A73"/>
    <w:rsid w:val="00513A5F"/>
    <w:rsid w:val="005208E0"/>
    <w:rsid w:val="00524089"/>
    <w:rsid w:val="00535812"/>
    <w:rsid w:val="00546DC1"/>
    <w:rsid w:val="00555907"/>
    <w:rsid w:val="00565F39"/>
    <w:rsid w:val="00566F8C"/>
    <w:rsid w:val="005724DD"/>
    <w:rsid w:val="0058150C"/>
    <w:rsid w:val="005A6D9B"/>
    <w:rsid w:val="005B01F2"/>
    <w:rsid w:val="005B18AB"/>
    <w:rsid w:val="005B1F10"/>
    <w:rsid w:val="005E16AA"/>
    <w:rsid w:val="005E457A"/>
    <w:rsid w:val="005F2B77"/>
    <w:rsid w:val="00604960"/>
    <w:rsid w:val="0063606B"/>
    <w:rsid w:val="0064080A"/>
    <w:rsid w:val="00647C4E"/>
    <w:rsid w:val="00650F9C"/>
    <w:rsid w:val="0066748E"/>
    <w:rsid w:val="006704AE"/>
    <w:rsid w:val="00687BAC"/>
    <w:rsid w:val="006920D4"/>
    <w:rsid w:val="006942AA"/>
    <w:rsid w:val="006943CF"/>
    <w:rsid w:val="006B4BFF"/>
    <w:rsid w:val="006E13DA"/>
    <w:rsid w:val="00703938"/>
    <w:rsid w:val="0070519E"/>
    <w:rsid w:val="00711379"/>
    <w:rsid w:val="00786790"/>
    <w:rsid w:val="00791416"/>
    <w:rsid w:val="007A39EA"/>
    <w:rsid w:val="007E653D"/>
    <w:rsid w:val="007E6F70"/>
    <w:rsid w:val="007F5D82"/>
    <w:rsid w:val="008106B2"/>
    <w:rsid w:val="0083122B"/>
    <w:rsid w:val="0084634E"/>
    <w:rsid w:val="00853D99"/>
    <w:rsid w:val="00880F66"/>
    <w:rsid w:val="00885201"/>
    <w:rsid w:val="00885980"/>
    <w:rsid w:val="008C2380"/>
    <w:rsid w:val="008C2C13"/>
    <w:rsid w:val="008C3671"/>
    <w:rsid w:val="008D4C4E"/>
    <w:rsid w:val="008E58EA"/>
    <w:rsid w:val="00904A03"/>
    <w:rsid w:val="009203A1"/>
    <w:rsid w:val="00923A8F"/>
    <w:rsid w:val="00927A64"/>
    <w:rsid w:val="00936FAC"/>
    <w:rsid w:val="00940605"/>
    <w:rsid w:val="00941740"/>
    <w:rsid w:val="00966A9B"/>
    <w:rsid w:val="009755EB"/>
    <w:rsid w:val="0099361B"/>
    <w:rsid w:val="009C5B4A"/>
    <w:rsid w:val="009E5CD6"/>
    <w:rsid w:val="00A37083"/>
    <w:rsid w:val="00A51AD0"/>
    <w:rsid w:val="00A728F4"/>
    <w:rsid w:val="00A77552"/>
    <w:rsid w:val="00A86F21"/>
    <w:rsid w:val="00AA01E4"/>
    <w:rsid w:val="00AB5630"/>
    <w:rsid w:val="00AB65F5"/>
    <w:rsid w:val="00AB6B6A"/>
    <w:rsid w:val="00AD4149"/>
    <w:rsid w:val="00B2749E"/>
    <w:rsid w:val="00B31DED"/>
    <w:rsid w:val="00B32A4F"/>
    <w:rsid w:val="00B37ED8"/>
    <w:rsid w:val="00B429A1"/>
    <w:rsid w:val="00B441D1"/>
    <w:rsid w:val="00B77B9B"/>
    <w:rsid w:val="00B80800"/>
    <w:rsid w:val="00B86344"/>
    <w:rsid w:val="00BD0772"/>
    <w:rsid w:val="00BD27F9"/>
    <w:rsid w:val="00C00B9A"/>
    <w:rsid w:val="00C04382"/>
    <w:rsid w:val="00C0749B"/>
    <w:rsid w:val="00C10C95"/>
    <w:rsid w:val="00C40CF6"/>
    <w:rsid w:val="00C44042"/>
    <w:rsid w:val="00C8283F"/>
    <w:rsid w:val="00CA0F8D"/>
    <w:rsid w:val="00CB0E3E"/>
    <w:rsid w:val="00CB782A"/>
    <w:rsid w:val="00CD30FE"/>
    <w:rsid w:val="00CF2CB8"/>
    <w:rsid w:val="00D007D2"/>
    <w:rsid w:val="00D07954"/>
    <w:rsid w:val="00D142EA"/>
    <w:rsid w:val="00D6090B"/>
    <w:rsid w:val="00D73BFD"/>
    <w:rsid w:val="00D876B1"/>
    <w:rsid w:val="00DA33B6"/>
    <w:rsid w:val="00DB3085"/>
    <w:rsid w:val="00DE72C8"/>
    <w:rsid w:val="00DF26FE"/>
    <w:rsid w:val="00E43066"/>
    <w:rsid w:val="00E51E5B"/>
    <w:rsid w:val="00E775B9"/>
    <w:rsid w:val="00E80FC1"/>
    <w:rsid w:val="00EA04EB"/>
    <w:rsid w:val="00EA1962"/>
    <w:rsid w:val="00EC759A"/>
    <w:rsid w:val="00EF40EC"/>
    <w:rsid w:val="00F06438"/>
    <w:rsid w:val="00F124EC"/>
    <w:rsid w:val="00F2650A"/>
    <w:rsid w:val="00F3186E"/>
    <w:rsid w:val="00F34CBC"/>
    <w:rsid w:val="00F527C7"/>
    <w:rsid w:val="00F52AA4"/>
    <w:rsid w:val="00F5570F"/>
    <w:rsid w:val="00F65EEA"/>
    <w:rsid w:val="00F807CC"/>
    <w:rsid w:val="00F85ABD"/>
    <w:rsid w:val="00FB5A18"/>
    <w:rsid w:val="00FC4F78"/>
    <w:rsid w:val="00FC63BD"/>
    <w:rsid w:val="00FE4C13"/>
    <w:rsid w:val="00FE4C86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58C6"/>
  <w15:docId w15:val="{39E6DB01-3D4E-4525-B7D6-AC4F40B4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F7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F78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4F7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F7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FC4F78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9755EB"/>
    <w:rPr>
      <w:color w:val="0000FF"/>
      <w:u w:val="single"/>
    </w:rPr>
  </w:style>
  <w:style w:type="paragraph" w:customStyle="1" w:styleId="IPodnaslov">
    <w:name w:val="IPodnaslov"/>
    <w:next w:val="INormal"/>
    <w:rsid w:val="00DF26FE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2A0855"/>
    <w:pPr>
      <w:ind w:left="720"/>
      <w:contextualSpacing/>
    </w:pPr>
  </w:style>
  <w:style w:type="paragraph" w:customStyle="1" w:styleId="IPodnaslov2">
    <w:name w:val="IPodnaslov2"/>
    <w:next w:val="INormal"/>
    <w:rsid w:val="005B1F10"/>
    <w:pPr>
      <w:keepNext/>
      <w:numPr>
        <w:numId w:val="6"/>
      </w:numPr>
      <w:shd w:val="clear" w:color="auto" w:fill="E6E6E6"/>
      <w:tabs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5B1F10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izvozne-prilik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.mvep.hr/hr/zahtjev-za-podrskom-izvoznik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d.mve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d.mvep.hr/hr/naja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EA07-CA7B-43D8-A7A8-05036D0F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Ozren Baković</dc:creator>
  <cp:lastModifiedBy>Adrian Vukojević</cp:lastModifiedBy>
  <cp:revision>11</cp:revision>
  <dcterms:created xsi:type="dcterms:W3CDTF">2022-10-12T08:52:00Z</dcterms:created>
  <dcterms:modified xsi:type="dcterms:W3CDTF">2022-11-04T13:45:00Z</dcterms:modified>
</cp:coreProperties>
</file>